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A" w:rsidRDefault="00B41E7A" w:rsidP="003807E5">
      <w:pPr>
        <w:jc w:val="right"/>
      </w:pPr>
      <w:r>
        <w:fldChar w:fldCharType="begin"/>
      </w:r>
      <w:r>
        <w:instrText>HYPERLINK "http://www.cmtevents.com/UnSubscribe.aspx"</w:instrText>
      </w:r>
      <w:r>
        <w:fldChar w:fldCharType="separate"/>
      </w:r>
      <w:r w:rsidR="00021FCC" w:rsidRPr="00E66C83">
        <w:rPr>
          <w:rStyle w:val="Hyperlink"/>
        </w:rPr>
        <w:t>unsubscribe</w:t>
      </w:r>
      <w:r>
        <w:fldChar w:fldCharType="end"/>
      </w:r>
    </w:p>
    <w:p w:rsidR="003807E5" w:rsidRDefault="003807E5" w:rsidP="005F7856">
      <w:pPr>
        <w:jc w:val="center"/>
      </w:pPr>
      <w:r>
        <w:rPr>
          <w:noProof/>
        </w:rPr>
        <w:drawing>
          <wp:inline distT="0" distB="0" distL="0" distR="0">
            <wp:extent cx="6191250" cy="1190625"/>
            <wp:effectExtent l="19050" t="0" r="0" b="0"/>
            <wp:docPr id="1" name="Picture 0" descr="650x12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x12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81" w:type="dxa"/>
        <w:tblInd w:w="250" w:type="dxa"/>
        <w:tblLayout w:type="fixed"/>
        <w:tblLook w:val="04A0"/>
      </w:tblPr>
      <w:tblGrid>
        <w:gridCol w:w="2693"/>
        <w:gridCol w:w="7088"/>
      </w:tblGrid>
      <w:tr w:rsidR="003807E5" w:rsidTr="005F7856">
        <w:tc>
          <w:tcPr>
            <w:tcW w:w="2693" w:type="dxa"/>
          </w:tcPr>
          <w:p w:rsidR="009C5301" w:rsidRDefault="009C5301" w:rsidP="009C5301">
            <w:pPr>
              <w:jc w:val="center"/>
            </w:pPr>
          </w:p>
          <w:p w:rsidR="001F2180" w:rsidRDefault="009C5301" w:rsidP="001F2180">
            <w:pPr>
              <w:jc w:val="center"/>
            </w:pPr>
            <w:r>
              <w:t>Organised by</w:t>
            </w:r>
          </w:p>
          <w:p w:rsidR="001F2180" w:rsidRDefault="001F2180" w:rsidP="001F2180">
            <w:pPr>
              <w:jc w:val="center"/>
            </w:pPr>
          </w:p>
          <w:p w:rsidR="009C5301" w:rsidRDefault="009C5301" w:rsidP="001F21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8725" cy="571500"/>
                  <wp:effectExtent l="19050" t="0" r="9525" b="0"/>
                  <wp:docPr id="7" name="Picture 4" descr="CMT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T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301" w:rsidRDefault="009C5301" w:rsidP="001F2180">
            <w:pPr>
              <w:jc w:val="center"/>
            </w:pPr>
          </w:p>
          <w:p w:rsidR="009C5301" w:rsidRDefault="009C5301" w:rsidP="001F2180">
            <w:pPr>
              <w:jc w:val="center"/>
            </w:pPr>
            <w:r w:rsidRPr="003807E5">
              <w:t>Media Partner</w:t>
            </w:r>
          </w:p>
          <w:p w:rsidR="001F2180" w:rsidRPr="003807E5" w:rsidRDefault="001F2180" w:rsidP="001F2180">
            <w:pPr>
              <w:jc w:val="center"/>
            </w:pPr>
          </w:p>
          <w:p w:rsidR="009C5301" w:rsidRDefault="009C5301" w:rsidP="001F21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571500"/>
                  <wp:effectExtent l="19050" t="0" r="0" b="0"/>
                  <wp:docPr id="8" name="Picture 5" descr="nuqudy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qud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180" w:rsidRDefault="001F2180" w:rsidP="009C5301"/>
          <w:p w:rsidR="009C5301" w:rsidRDefault="009C5301" w:rsidP="009C5301"/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46"/>
              <w:gridCol w:w="1559"/>
            </w:tblGrid>
            <w:tr w:rsidR="009C5301" w:rsidTr="004224D9">
              <w:tc>
                <w:tcPr>
                  <w:tcW w:w="2405" w:type="dxa"/>
                  <w:gridSpan w:val="2"/>
                  <w:shd w:val="clear" w:color="auto" w:fill="31849B" w:themeFill="accent5" w:themeFillShade="BF"/>
                </w:tcPr>
                <w:p w:rsidR="009C5301" w:rsidRPr="004224D9" w:rsidRDefault="009C5301" w:rsidP="004224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224D9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ACT NOW!</w:t>
                  </w:r>
                </w:p>
              </w:tc>
            </w:tr>
            <w:tr w:rsidR="009C5301" w:rsidTr="004224D9">
              <w:tc>
                <w:tcPr>
                  <w:tcW w:w="2405" w:type="dxa"/>
                  <w:gridSpan w:val="2"/>
                  <w:shd w:val="clear" w:color="auto" w:fill="DAEEF3" w:themeFill="accent5" w:themeFillTint="33"/>
                </w:tcPr>
                <w:p w:rsidR="009C5301" w:rsidRPr="004224D9" w:rsidRDefault="009C5301" w:rsidP="004224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224D9">
                    <w:rPr>
                      <w:rFonts w:ascii="Arial" w:hAnsi="Arial" w:cs="Arial"/>
                      <w:b/>
                    </w:rPr>
                    <w:t>3 ways to Register</w:t>
                  </w:r>
                </w:p>
              </w:tc>
            </w:tr>
            <w:tr w:rsidR="009C5301" w:rsidTr="004224D9">
              <w:tc>
                <w:tcPr>
                  <w:tcW w:w="846" w:type="dxa"/>
                  <w:shd w:val="clear" w:color="auto" w:fill="DAEEF3" w:themeFill="accent5" w:themeFillTint="33"/>
                </w:tcPr>
                <w:p w:rsidR="009C5301" w:rsidRDefault="008D1726" w:rsidP="009C5301">
                  <w:r>
                    <w:rPr>
                      <w:noProof/>
                    </w:rPr>
                    <w:drawing>
                      <wp:inline distT="0" distB="0" distL="0" distR="0">
                        <wp:extent cx="295275" cy="304800"/>
                        <wp:effectExtent l="19050" t="0" r="9525" b="0"/>
                        <wp:docPr id="10" name="Picture 9" descr="regonline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gonline_icon.gif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</w:tcPr>
                <w:p w:rsidR="009C5301" w:rsidRDefault="00186B43" w:rsidP="008D1726">
                  <w:hyperlink r:id="rId12" w:history="1">
                    <w:r w:rsidR="009C5301" w:rsidRPr="00186B43">
                      <w:rPr>
                        <w:rStyle w:val="Hyperlink"/>
                      </w:rPr>
                      <w:t>Online</w:t>
                    </w:r>
                  </w:hyperlink>
                </w:p>
              </w:tc>
            </w:tr>
            <w:tr w:rsidR="009C5301" w:rsidTr="004224D9">
              <w:tc>
                <w:tcPr>
                  <w:tcW w:w="846" w:type="dxa"/>
                  <w:shd w:val="clear" w:color="auto" w:fill="DAEEF3" w:themeFill="accent5" w:themeFillTint="33"/>
                </w:tcPr>
                <w:p w:rsidR="009C5301" w:rsidRDefault="008D1726" w:rsidP="009C5301">
                  <w:r>
                    <w:rPr>
                      <w:noProof/>
                    </w:rPr>
                    <w:drawing>
                      <wp:inline distT="0" distB="0" distL="0" distR="0">
                        <wp:extent cx="295275" cy="304800"/>
                        <wp:effectExtent l="19050" t="0" r="9525" b="0"/>
                        <wp:docPr id="12" name="Picture 11" descr="email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ail_icon.gif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</w:tcPr>
                <w:p w:rsidR="009C5301" w:rsidRDefault="00186B43" w:rsidP="009C5301">
                  <w:hyperlink r:id="rId14" w:history="1">
                    <w:r w:rsidR="009C5301" w:rsidRPr="00186B43">
                      <w:rPr>
                        <w:rStyle w:val="Hyperlink"/>
                      </w:rPr>
                      <w:t>Email</w:t>
                    </w:r>
                  </w:hyperlink>
                </w:p>
              </w:tc>
            </w:tr>
            <w:tr w:rsidR="009C5301" w:rsidTr="004224D9">
              <w:tc>
                <w:tcPr>
                  <w:tcW w:w="846" w:type="dxa"/>
                  <w:shd w:val="clear" w:color="auto" w:fill="DAEEF3" w:themeFill="accent5" w:themeFillTint="33"/>
                </w:tcPr>
                <w:p w:rsidR="009C5301" w:rsidRDefault="008D1726" w:rsidP="009C5301">
                  <w:r>
                    <w:rPr>
                      <w:noProof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13" name="Picture 12" descr="phone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_icon.gif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</w:tcPr>
                <w:p w:rsidR="009C5301" w:rsidRDefault="009C5301" w:rsidP="009C5301">
                  <w:r w:rsidRPr="009C5301">
                    <w:t>+65 6346 9147</w:t>
                  </w:r>
                </w:p>
              </w:tc>
            </w:tr>
            <w:tr w:rsidR="004224D9" w:rsidTr="004224D9">
              <w:tc>
                <w:tcPr>
                  <w:tcW w:w="2405" w:type="dxa"/>
                  <w:gridSpan w:val="2"/>
                  <w:shd w:val="clear" w:color="auto" w:fill="DAEEF3" w:themeFill="accent5" w:themeFillTint="33"/>
                </w:tcPr>
                <w:p w:rsidR="004224D9" w:rsidRPr="009C5301" w:rsidRDefault="004224D9" w:rsidP="009C5301"/>
              </w:tc>
            </w:tr>
            <w:tr w:rsidR="008D1726" w:rsidTr="004224D9">
              <w:tc>
                <w:tcPr>
                  <w:tcW w:w="2405" w:type="dxa"/>
                  <w:gridSpan w:val="2"/>
                  <w:shd w:val="clear" w:color="auto" w:fill="31849B" w:themeFill="accent5" w:themeFillShade="BF"/>
                </w:tcPr>
                <w:p w:rsidR="008D1726" w:rsidRPr="004224D9" w:rsidRDefault="00783906" w:rsidP="004224D9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4224D9">
                    <w:rPr>
                      <w:rFonts w:ascii="Arial" w:hAnsi="Arial" w:cs="Arial"/>
                      <w:b/>
                      <w:color w:val="FFFFFF" w:themeColor="background1"/>
                    </w:rPr>
                    <w:t>OPPORTUNITIES</w:t>
                  </w:r>
                </w:p>
              </w:tc>
            </w:tr>
            <w:tr w:rsidR="008D1726" w:rsidTr="00783906">
              <w:tc>
                <w:tcPr>
                  <w:tcW w:w="2405" w:type="dxa"/>
                  <w:gridSpan w:val="2"/>
                </w:tcPr>
                <w:p w:rsidR="008D1726" w:rsidRDefault="00783906" w:rsidP="009C5301">
                  <w:r w:rsidRPr="00783906">
                    <w:drawing>
                      <wp:inline distT="0" distB="0" distL="0" distR="0">
                        <wp:extent cx="1333500" cy="400050"/>
                        <wp:effectExtent l="19050" t="0" r="0" b="0"/>
                        <wp:docPr id="27" name="Picture 17" descr="be_sponsor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_sponsor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1726" w:rsidTr="00783906">
              <w:tc>
                <w:tcPr>
                  <w:tcW w:w="2405" w:type="dxa"/>
                  <w:gridSpan w:val="2"/>
                </w:tcPr>
                <w:p w:rsidR="008D1726" w:rsidRDefault="00783906" w:rsidP="009C5301">
                  <w:r w:rsidRPr="00783906">
                    <w:drawing>
                      <wp:inline distT="0" distB="0" distL="0" distR="0">
                        <wp:extent cx="1333500" cy="400050"/>
                        <wp:effectExtent l="19050" t="0" r="0" b="0"/>
                        <wp:docPr id="28" name="Picture 18" descr="be_exhibitor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_exhibitor.jp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1726" w:rsidTr="00783906">
              <w:tc>
                <w:tcPr>
                  <w:tcW w:w="2405" w:type="dxa"/>
                  <w:gridSpan w:val="2"/>
                </w:tcPr>
                <w:p w:rsidR="008D1726" w:rsidRDefault="00783906" w:rsidP="009C5301">
                  <w:r w:rsidRPr="00783906">
                    <w:drawing>
                      <wp:inline distT="0" distB="0" distL="0" distR="0">
                        <wp:extent cx="1333500" cy="400050"/>
                        <wp:effectExtent l="19050" t="0" r="0" b="0"/>
                        <wp:docPr id="29" name="Picture 19" descr="be_speaker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_speaker.jp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1726" w:rsidTr="00783906">
              <w:tc>
                <w:tcPr>
                  <w:tcW w:w="2405" w:type="dxa"/>
                  <w:gridSpan w:val="2"/>
                </w:tcPr>
                <w:p w:rsidR="008D1726" w:rsidRDefault="00783906" w:rsidP="009C5301">
                  <w:r w:rsidRPr="00783906">
                    <w:drawing>
                      <wp:inline distT="0" distB="0" distL="0" distR="0">
                        <wp:extent cx="1333500" cy="400050"/>
                        <wp:effectExtent l="19050" t="0" r="0" b="0"/>
                        <wp:docPr id="30" name="Picture 20" descr="be_sponsor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_sponsor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3906" w:rsidTr="004224D9">
              <w:tc>
                <w:tcPr>
                  <w:tcW w:w="2405" w:type="dxa"/>
                  <w:gridSpan w:val="2"/>
                  <w:shd w:val="clear" w:color="auto" w:fill="DAEEF3" w:themeFill="accent5" w:themeFillTint="33"/>
                </w:tcPr>
                <w:p w:rsidR="00783906" w:rsidRDefault="00783906" w:rsidP="009C5301"/>
                <w:p w:rsidR="00783906" w:rsidRDefault="00783906" w:rsidP="0078390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3500" cy="1866900"/>
                        <wp:effectExtent l="19050" t="0" r="0" b="0"/>
                        <wp:docPr id="32" name="Picture 31" descr="130837t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0837tn.jp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3906" w:rsidRDefault="002B031B" w:rsidP="00783906">
                  <w:pPr>
                    <w:jc w:val="center"/>
                  </w:pPr>
                  <w:hyperlink r:id="rId24" w:history="1">
                    <w:r w:rsidR="00783906" w:rsidRPr="002B031B">
                      <w:rPr>
                        <w:rStyle w:val="Hyperlink"/>
                      </w:rPr>
                      <w:t>Brochure Request</w:t>
                    </w:r>
                  </w:hyperlink>
                </w:p>
                <w:p w:rsidR="00783906" w:rsidRPr="00783906" w:rsidRDefault="00783906" w:rsidP="00783906">
                  <w:pPr>
                    <w:jc w:val="center"/>
                  </w:pPr>
                </w:p>
              </w:tc>
            </w:tr>
          </w:tbl>
          <w:p w:rsidR="009C5301" w:rsidRDefault="009C5301" w:rsidP="009C5301"/>
          <w:p w:rsidR="003807E5" w:rsidRDefault="003807E5" w:rsidP="009C5301"/>
        </w:tc>
        <w:tc>
          <w:tcPr>
            <w:tcW w:w="7088" w:type="dxa"/>
          </w:tcPr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25" w:history="1">
              <w:proofErr w:type="spellStart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Oleochemicals</w:t>
              </w:r>
              <w:proofErr w:type="spellEnd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Outlook</w:t>
              </w:r>
            </w:hyperlink>
            <w:r w:rsidRPr="00783906">
              <w:rPr>
                <w:rFonts w:ascii="Arial" w:hAnsi="Arial" w:cs="Arial"/>
                <w:sz w:val="20"/>
                <w:szCs w:val="20"/>
              </w:rPr>
              <w:t xml:space="preserve"> in Jakarta, </w:t>
            </w:r>
            <w:r w:rsidRPr="00B454FF">
              <w:rPr>
                <w:rFonts w:ascii="Arial" w:hAnsi="Arial" w:cs="Arial"/>
                <w:b/>
                <w:sz w:val="20"/>
                <w:szCs w:val="20"/>
              </w:rPr>
              <w:t>August 22-23, 2013, has been launched!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 Mark your calendar and register for the industry meet to attain first hand insights on </w:t>
            </w:r>
            <w:r w:rsidRPr="00B454FF">
              <w:rPr>
                <w:rFonts w:ascii="Arial" w:hAnsi="Arial" w:cs="Arial"/>
                <w:b/>
                <w:sz w:val="20"/>
                <w:szCs w:val="20"/>
              </w:rPr>
              <w:t xml:space="preserve">regional and </w:t>
            </w:r>
            <w:proofErr w:type="spellStart"/>
            <w:r w:rsidRPr="00B454FF">
              <w:rPr>
                <w:rFonts w:ascii="Arial" w:hAnsi="Arial" w:cs="Arial"/>
                <w:b/>
                <w:sz w:val="20"/>
                <w:szCs w:val="20"/>
              </w:rPr>
              <w:t>globaloleochemicals</w:t>
            </w:r>
            <w:proofErr w:type="spellEnd"/>
            <w:r w:rsidRPr="00B454FF">
              <w:rPr>
                <w:rFonts w:ascii="Arial" w:hAnsi="Arial" w:cs="Arial"/>
                <w:b/>
                <w:sz w:val="20"/>
                <w:szCs w:val="20"/>
              </w:rPr>
              <w:t xml:space="preserve"> market outlook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, especially for APAC, as well as </w:t>
            </w:r>
            <w:r w:rsidRPr="00B454FF">
              <w:rPr>
                <w:rFonts w:ascii="Arial" w:hAnsi="Arial" w:cs="Arial"/>
                <w:b/>
                <w:sz w:val="20"/>
                <w:szCs w:val="20"/>
              </w:rPr>
              <w:t>updates on HPC sector, fatty acids, fatty alcohol, feedstock, biodiesel, glycerine, innovations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 and more from industry leaders.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With readily available feedstock and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favorable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tax incentive, Indonesia is one of the top locations for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oleochemicals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investments thanks to the country's thriving palm oil industry which creates a conducive environment for sustainable palm-to-oleo integration hence value add downstream businesses. Last week, major industry player Unilever headlined the news as it broke ground for its new processing plant in the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Sei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Mankei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SEZ in Indonesia. The move by Unilever is set to tap on Indonesia's pro-downstream environment as well as its consumer base.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>Meanwhile, according to Frost &amp; Sullivan, there is sufficient fatty alcohol capacity to last the market for at least 3 years. The future expansions would lead to both excess capacity and supply. Asia's fatty alcohols capacity is projected to grow by more than 30%, with 5 projects to start up in SE Asia in 2013, increasing the fatty alcohol capacity by more than 500,000 ton by end of 2013 versus current capacity at 1.5 m ton/yr. How will this change the demand/supply dynamics if all these new capacities come on-stream as planned? How are players reacting to the challenge and will margin be further squeeze?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7E5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For answers, attend </w:t>
            </w:r>
            <w:hyperlink r:id="rId26" w:history="1"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CMT's </w:t>
              </w:r>
              <w:proofErr w:type="spellStart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Oleochemicals</w:t>
              </w:r>
              <w:proofErr w:type="spellEnd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Outlook</w:t>
              </w:r>
            </w:hyperlink>
            <w:r w:rsidRPr="00783906">
              <w:rPr>
                <w:rFonts w:ascii="Arial" w:hAnsi="Arial" w:cs="Arial"/>
                <w:sz w:val="20"/>
                <w:szCs w:val="20"/>
              </w:rPr>
              <w:t xml:space="preserve"> and you'll obtain valuable insights on the oleo industry trend from leaders including:</w:t>
            </w:r>
          </w:p>
          <w:p w:rsidR="001F2180" w:rsidRPr="00783906" w:rsidRDefault="001F2180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VVF Limited 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Frost &amp; Sullivan 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Apolin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(Indonesian </w:t>
            </w: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Oleochemicals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Manufacturers Association)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Teck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Guan Group (Malaysia, Indonesia, China)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Bank </w:t>
            </w: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Danamon</w:t>
            </w:r>
            <w:proofErr w:type="spellEnd"/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Safechem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Industries 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Martha </w:t>
            </w: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Tilaar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Group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Mission Biotechnologies </w:t>
            </w: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Sdn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Bhd</w:t>
            </w:r>
            <w:proofErr w:type="spellEnd"/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Lurgi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GmbH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Unilever Asia Pte Ltd</w:t>
            </w:r>
          </w:p>
          <w:p w:rsidR="00783906" w:rsidRPr="00B454FF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proofErr w:type="spellStart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Elevance</w:t>
            </w:r>
            <w:proofErr w:type="spellEnd"/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Renewable Sciences Singapore Pte Ltd</w:t>
            </w:r>
          </w:p>
          <w:p w:rsidR="00783906" w:rsidRPr="00783906" w:rsidRDefault="00783906" w:rsidP="00783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54FF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Malaysian Palm Oil Board (MPOB)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27" w:history="1">
              <w:proofErr w:type="spellStart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Oleochemical</w:t>
              </w:r>
              <w:proofErr w:type="spellEnd"/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Outlook</w:t>
              </w:r>
            </w:hyperlink>
            <w:r w:rsidRPr="00783906">
              <w:rPr>
                <w:rFonts w:ascii="Arial" w:hAnsi="Arial" w:cs="Arial"/>
                <w:sz w:val="20"/>
                <w:szCs w:val="20"/>
              </w:rPr>
              <w:t xml:space="preserve"> is the congregation ground for top executives and decision makers, drawing stellar delegation that includes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Oleochemicals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value chain CEOs, VPs, General Managers, Business Development Directors/Managers, Product Managers, Global Purchasing Directors/Managers, Supply Chain Directors, Logistics Managers, Sourcing Directors/Managers, Marketing Managers, Sales Managers, Brokers, Consultants and R&amp;D Managers, making it the must-attend event for upstream/downstream oleo industry.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B454FF" w:rsidP="0078390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83906"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Download the Program Agenda</w:t>
              </w:r>
            </w:hyperlink>
            <w:r w:rsidR="00783906" w:rsidRPr="00783906">
              <w:rPr>
                <w:rFonts w:ascii="Arial" w:hAnsi="Arial" w:cs="Arial"/>
                <w:sz w:val="20"/>
                <w:szCs w:val="20"/>
              </w:rPr>
              <w:t xml:space="preserve"> today for more sessions' details and speakers' information.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Attend as a delegate by </w:t>
            </w:r>
            <w:hyperlink r:id="rId29" w:history="1">
              <w:r w:rsidRPr="00B454F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REGISTERING</w:t>
              </w:r>
            </w:hyperlink>
            <w:r w:rsidRPr="00783906">
              <w:rPr>
                <w:rFonts w:ascii="Arial" w:hAnsi="Arial" w:cs="Arial"/>
                <w:sz w:val="20"/>
                <w:szCs w:val="20"/>
              </w:rPr>
              <w:t xml:space="preserve"> with us! Secure your seat TODAY and enjoy a USD 100 discount! </w:t>
            </w:r>
            <w:r w:rsidRPr="00B454FF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4FF">
              <w:rPr>
                <w:rFonts w:ascii="Arial" w:hAnsi="Arial" w:cs="Arial"/>
                <w:b/>
                <w:sz w:val="20"/>
                <w:szCs w:val="20"/>
              </w:rPr>
              <w:t>WEEK for EARLY BIRD PROMOTION - Ends July 15, 2013!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 Contact me at </w:t>
            </w:r>
            <w:hyperlink r:id="rId30" w:history="1">
              <w:r w:rsidRPr="00B454FF">
                <w:rPr>
                  <w:rStyle w:val="Hyperlink"/>
                  <w:rFonts w:ascii="Arial" w:hAnsi="Arial" w:cs="Arial"/>
                  <w:sz w:val="20"/>
                  <w:szCs w:val="20"/>
                </w:rPr>
                <w:t>grace@cmtsp.com.sg</w:t>
              </w:r>
            </w:hyperlink>
            <w:r w:rsidR="00B45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90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783906">
              <w:rPr>
                <w:rFonts w:ascii="Arial" w:hAnsi="Arial" w:cs="Arial"/>
                <w:sz w:val="20"/>
                <w:szCs w:val="20"/>
              </w:rPr>
              <w:lastRenderedPageBreak/>
              <w:t xml:space="preserve">+65 9346 9147 now! 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  <w:r w:rsidRPr="00783906">
              <w:rPr>
                <w:rFonts w:ascii="Arial" w:hAnsi="Arial" w:cs="Arial"/>
                <w:sz w:val="20"/>
                <w:szCs w:val="20"/>
              </w:rPr>
              <w:t xml:space="preserve">Reach out to the right players in the market. Participate in </w:t>
            </w:r>
            <w:proofErr w:type="spellStart"/>
            <w:r w:rsidRPr="00783906">
              <w:rPr>
                <w:rFonts w:ascii="Arial" w:hAnsi="Arial" w:cs="Arial"/>
                <w:sz w:val="20"/>
                <w:szCs w:val="20"/>
              </w:rPr>
              <w:t>Oleochemicals</w:t>
            </w:r>
            <w:proofErr w:type="spellEnd"/>
            <w:r w:rsidRPr="00783906">
              <w:rPr>
                <w:rFonts w:ascii="Arial" w:hAnsi="Arial" w:cs="Arial"/>
                <w:sz w:val="20"/>
                <w:szCs w:val="20"/>
              </w:rPr>
              <w:t xml:space="preserve"> Outlook as a speaker, sponsor or exhibitor and streamline your communication towards major players in the value chain .</w:t>
            </w:r>
          </w:p>
          <w:p w:rsidR="00783906" w:rsidRPr="00783906" w:rsidRDefault="00783906" w:rsidP="007839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906" w:rsidRDefault="00783906" w:rsidP="00783906">
            <w:r w:rsidRPr="00783906">
              <w:rPr>
                <w:rFonts w:ascii="Arial" w:hAnsi="Arial" w:cs="Arial"/>
                <w:sz w:val="20"/>
                <w:szCs w:val="20"/>
              </w:rPr>
              <w:t xml:space="preserve">For sponsorship opportunities, please contact Ms. Nisha Goshawk at </w:t>
            </w:r>
            <w:hyperlink r:id="rId31" w:history="1">
              <w:r w:rsidRPr="00B454FF">
                <w:rPr>
                  <w:rStyle w:val="Hyperlink"/>
                  <w:rFonts w:ascii="Arial" w:hAnsi="Arial" w:cs="Arial"/>
                  <w:sz w:val="20"/>
                  <w:szCs w:val="20"/>
                </w:rPr>
                <w:t>Nisha@cmtsp.com.sg</w:t>
              </w:r>
            </w:hyperlink>
            <w:r w:rsidRPr="00783906">
              <w:rPr>
                <w:rFonts w:ascii="Arial" w:hAnsi="Arial" w:cs="Arial"/>
                <w:sz w:val="20"/>
                <w:szCs w:val="20"/>
              </w:rPr>
              <w:t xml:space="preserve"> or Tel. +65 6346 9130.</w:t>
            </w:r>
          </w:p>
        </w:tc>
      </w:tr>
    </w:tbl>
    <w:p w:rsidR="00783906" w:rsidRDefault="00783906" w:rsidP="0033606C">
      <w:pPr>
        <w:pStyle w:val="ListParagraph"/>
        <w:jc w:val="center"/>
        <w:rPr>
          <w:rFonts w:ascii="Arial" w:hAnsi="Arial" w:cs="Arial"/>
          <w:sz w:val="16"/>
          <w:szCs w:val="16"/>
        </w:rPr>
      </w:pPr>
    </w:p>
    <w:p w:rsidR="00057357" w:rsidRDefault="003732A0" w:rsidP="0033606C">
      <w:pPr>
        <w:pStyle w:val="ListParagraph"/>
        <w:jc w:val="center"/>
      </w:pPr>
      <w:r w:rsidRPr="00E66C83">
        <w:rPr>
          <w:rFonts w:ascii="Arial" w:hAnsi="Arial" w:cs="Arial"/>
          <w:sz w:val="16"/>
          <w:szCs w:val="16"/>
        </w:rPr>
        <w:t>Centre for Management Technology, 80 Marine Parade Road, #13-02 Parkway Parade, Singapore 449269</w:t>
      </w:r>
      <w:r w:rsidRPr="00E66C83">
        <w:rPr>
          <w:rFonts w:ascii="Arial" w:hAnsi="Arial" w:cs="Arial"/>
          <w:sz w:val="16"/>
          <w:szCs w:val="16"/>
        </w:rPr>
        <w:br/>
        <w:t>© 2013 Centre for Management Technology Pte Ltd. All rights reserved.</w:t>
      </w:r>
      <w:r w:rsidRPr="00E66C83">
        <w:rPr>
          <w:rFonts w:ascii="Arial" w:hAnsi="Arial" w:cs="Arial"/>
          <w:sz w:val="16"/>
          <w:szCs w:val="16"/>
        </w:rPr>
        <w:br/>
      </w:r>
      <w:hyperlink r:id="rId32" w:history="1">
        <w:r w:rsidRPr="00E66C83">
          <w:rPr>
            <w:rStyle w:val="Hyperlink"/>
            <w:rFonts w:ascii="Arial" w:hAnsi="Arial" w:cs="Arial"/>
            <w:sz w:val="16"/>
            <w:szCs w:val="16"/>
          </w:rPr>
          <w:t>FAQ</w:t>
        </w:r>
      </w:hyperlink>
      <w:r w:rsidRPr="00E66C83">
        <w:rPr>
          <w:rFonts w:ascii="Arial" w:hAnsi="Arial" w:cs="Arial"/>
          <w:sz w:val="16"/>
          <w:szCs w:val="16"/>
        </w:rPr>
        <w:t xml:space="preserve"> | </w:t>
      </w:r>
      <w:hyperlink r:id="rId33" w:history="1">
        <w:r w:rsidRPr="00E66C83">
          <w:rPr>
            <w:rStyle w:val="Hyperlink"/>
            <w:rFonts w:ascii="Arial" w:hAnsi="Arial" w:cs="Arial"/>
            <w:sz w:val="16"/>
            <w:szCs w:val="16"/>
          </w:rPr>
          <w:t>Unsubscribe</w:t>
        </w:r>
      </w:hyperlink>
    </w:p>
    <w:sectPr w:rsidR="00057357" w:rsidSect="005F7856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00"/>
    <w:multiLevelType w:val="hybridMultilevel"/>
    <w:tmpl w:val="2B0838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805EA"/>
    <w:multiLevelType w:val="hybridMultilevel"/>
    <w:tmpl w:val="351AA2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4C64"/>
    <w:multiLevelType w:val="hybridMultilevel"/>
    <w:tmpl w:val="CF4AF9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21FCC"/>
    <w:rsid w:val="00021FCC"/>
    <w:rsid w:val="00057357"/>
    <w:rsid w:val="000D4C4A"/>
    <w:rsid w:val="00117EE6"/>
    <w:rsid w:val="00134CA5"/>
    <w:rsid w:val="00186B43"/>
    <w:rsid w:val="001F2180"/>
    <w:rsid w:val="00221981"/>
    <w:rsid w:val="002B031B"/>
    <w:rsid w:val="0033606C"/>
    <w:rsid w:val="003732A0"/>
    <w:rsid w:val="003807E5"/>
    <w:rsid w:val="004224D9"/>
    <w:rsid w:val="004A3ADB"/>
    <w:rsid w:val="005F7856"/>
    <w:rsid w:val="0072561F"/>
    <w:rsid w:val="00783906"/>
    <w:rsid w:val="008D1726"/>
    <w:rsid w:val="00922F13"/>
    <w:rsid w:val="009C5301"/>
    <w:rsid w:val="00A70C6C"/>
    <w:rsid w:val="00B41E7A"/>
    <w:rsid w:val="00B454FF"/>
    <w:rsid w:val="00C850F5"/>
    <w:rsid w:val="00CE3A30"/>
    <w:rsid w:val="00E6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hyperlink" Target="http://www.cmtevents.com/eventexhibition.aspx?ev=130837&amp;" TargetMode="External"/><Relationship Id="rId26" Type="http://schemas.openxmlformats.org/officeDocument/2006/relationships/hyperlink" Target="http://www.cmtevents.com/main.aspx?ev=130837&amp;pg=sc&amp;pu=222347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www.cmtevents.com/main.aspx?ev=130837&amp;pg=rg&amp;pu=222347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cmtevents.com/main.aspx?ev=130837&amp;pg=sc&amp;pu=222347" TargetMode="External"/><Relationship Id="rId33" Type="http://schemas.openxmlformats.org/officeDocument/2006/relationships/hyperlink" Target="http://www.cmtevents.com/UnSubscrib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tevents.com/eventsponsorship.aspx?ev=130837&amp;" TargetMode="External"/><Relationship Id="rId20" Type="http://schemas.openxmlformats.org/officeDocument/2006/relationships/hyperlink" Target="http://www.cmtevents.com/paperproposal.aspx?ev=130837&amp;" TargetMode="External"/><Relationship Id="rId29" Type="http://schemas.openxmlformats.org/officeDocument/2006/relationships/hyperlink" Target="http://www.cmtevents.com/main.aspx?ev=130837&amp;pg=rg&amp;pu=2223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mtevents.com/main.aspx?ev=130837&amp;pu=222347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cmtevents.com/eventbrochure.aspx?ev=130837&amp;ver=pdf&amp;" TargetMode="External"/><Relationship Id="rId32" Type="http://schemas.openxmlformats.org/officeDocument/2006/relationships/hyperlink" Target="http://www.cmtevents.com/faq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0.jpeg"/><Relationship Id="rId28" Type="http://schemas.openxmlformats.org/officeDocument/2006/relationships/hyperlink" Target="http://www.cmtevents.com/main.aspx?ev=130837&amp;pg=sc&amp;pu=222347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Nisha@cmtsp.com.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qudy.com" TargetMode="External"/><Relationship Id="rId14" Type="http://schemas.openxmlformats.org/officeDocument/2006/relationships/hyperlink" Target="mailto:grace@cmtsp.com.sg" TargetMode="External"/><Relationship Id="rId22" Type="http://schemas.openxmlformats.org/officeDocument/2006/relationships/hyperlink" Target="http://www.cmtevents.com/enquiry.aspx?ev=130837&amp;" TargetMode="External"/><Relationship Id="rId27" Type="http://schemas.openxmlformats.org/officeDocument/2006/relationships/hyperlink" Target="http://www.cmtevents.com/main.aspx?ev=130837&amp;pg=sc&amp;pu=222347" TargetMode="External"/><Relationship Id="rId30" Type="http://schemas.openxmlformats.org/officeDocument/2006/relationships/hyperlink" Target="grace@cmtsp.com.s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C995-3C26-48B1-9F6D-E0663909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cp:lastPrinted>2013-04-22T07:37:00Z</cp:lastPrinted>
  <dcterms:created xsi:type="dcterms:W3CDTF">2013-07-15T02:33:00Z</dcterms:created>
  <dcterms:modified xsi:type="dcterms:W3CDTF">2013-07-15T02:51:00Z</dcterms:modified>
</cp:coreProperties>
</file>