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663399"/>
  <w:body>
    <w:tbl>
      <w:tblPr>
        <w:tblW w:w="10200" w:type="dxa"/>
        <w:jc w:val="center"/>
        <w:tblCellSpacing w:w="0" w:type="dxa"/>
        <w:tblBorders>
          <w:top w:val="outset" w:sz="6" w:space="0" w:color="330066"/>
          <w:left w:val="outset" w:sz="6" w:space="0" w:color="330066"/>
          <w:bottom w:val="outset" w:sz="6" w:space="0" w:color="330066"/>
          <w:right w:val="outset" w:sz="6" w:space="0" w:color="330066"/>
        </w:tblBorders>
        <w:shd w:val="clear" w:color="auto" w:fill="FFFFFF"/>
        <w:tblCellMar>
          <w:top w:w="450" w:type="dxa"/>
          <w:left w:w="450" w:type="dxa"/>
          <w:bottom w:w="450" w:type="dxa"/>
          <w:right w:w="450" w:type="dxa"/>
        </w:tblCellMar>
        <w:tblLook w:val="04A0"/>
      </w:tblPr>
      <w:tblGrid>
        <w:gridCol w:w="10710"/>
      </w:tblGrid>
      <w:tr w:rsidR="00000000">
        <w:trPr>
          <w:tblCellSpacing w:w="0" w:type="dxa"/>
          <w:jc w:val="center"/>
        </w:trPr>
        <w:tc>
          <w:tcPr>
            <w:tcW w:w="0" w:type="auto"/>
            <w:tcBorders>
              <w:top w:val="outset" w:sz="6" w:space="0" w:color="330066"/>
              <w:left w:val="outset" w:sz="6" w:space="0" w:color="330066"/>
              <w:bottom w:val="outset" w:sz="6" w:space="0" w:color="330066"/>
              <w:right w:val="outset" w:sz="6" w:space="0" w:color="330066"/>
            </w:tcBorders>
            <w:shd w:val="clear" w:color="auto" w:fill="FFFFFF"/>
            <w:vAlign w:val="center"/>
            <w:hideMark/>
          </w:tcPr>
          <w:p w:rsidR="00000000" w:rsidRDefault="00ED0AED">
            <w:pPr>
              <w:pStyle w:val="NormalWeb"/>
              <w:jc w:val="center"/>
            </w:pPr>
            <w:r>
              <w:rPr>
                <w:rStyle w:val="Strong"/>
                <w:rFonts w:ascii="Arial" w:hAnsi="Arial" w:cs="Arial"/>
                <w:color w:val="660099"/>
                <w:sz w:val="27"/>
                <w:szCs w:val="27"/>
              </w:rPr>
              <w:t>Come to 2nd MENA Refining meet &amp; be updated on refining sectors in Libya, Kuwait, Morocco, Saudi Arabia &amp; more!</w:t>
            </w:r>
            <w:r>
              <w:rPr>
                <w:color w:val="660066"/>
                <w:sz w:val="27"/>
                <w:szCs w:val="27"/>
              </w:rPr>
              <w:t xml:space="preserve"> </w:t>
            </w:r>
          </w:p>
          <w:p w:rsidR="00000000" w:rsidRDefault="00ED0AED">
            <w:pPr>
              <w:pStyle w:val="NormalWeb"/>
              <w:jc w:val="center"/>
            </w:pPr>
            <w:r>
              <w:rPr>
                <w:noProof/>
                <w:color w:val="0000FF"/>
              </w:rPr>
              <w:drawing>
                <wp:inline distT="0" distB="0" distL="0" distR="0">
                  <wp:extent cx="6191250" cy="952500"/>
                  <wp:effectExtent l="19050" t="0" r="0" b="0"/>
                  <wp:docPr id="1" name="Picture 1" descr="http://www.cmtevents.com/EVENTDATAS/101026/banner/101026(650x100pixels).gif">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mtevents.com/EVENTDATAS/101026/banner/101026(650x100pixels).gif">
                            <a:hlinkClick r:id="rId5" tgtFrame="&quot;_blank&quot;"/>
                          </pic:cNvPr>
                          <pic:cNvPicPr>
                            <a:picLocks noChangeAspect="1" noChangeArrowheads="1"/>
                          </pic:cNvPicPr>
                        </pic:nvPicPr>
                        <pic:blipFill>
                          <a:blip r:link="rId6" cstate="print"/>
                          <a:srcRect/>
                          <a:stretch>
                            <a:fillRect/>
                          </a:stretch>
                        </pic:blipFill>
                        <pic:spPr bwMode="auto">
                          <a:xfrm>
                            <a:off x="0" y="0"/>
                            <a:ext cx="6191250" cy="952500"/>
                          </a:xfrm>
                          <a:prstGeom prst="rect">
                            <a:avLst/>
                          </a:prstGeom>
                          <a:noFill/>
                          <a:ln w="9525">
                            <a:noFill/>
                            <a:miter lim="800000"/>
                            <a:headEnd/>
                            <a:tailEnd/>
                          </a:ln>
                        </pic:spPr>
                      </pic:pic>
                    </a:graphicData>
                  </a:graphic>
                </wp:inline>
              </w:drawing>
            </w:r>
          </w:p>
          <w:p w:rsidR="00000000" w:rsidRDefault="00ED0AED">
            <w:pPr>
              <w:pStyle w:val="NormalWeb"/>
              <w:jc w:val="center"/>
            </w:pPr>
            <w:r>
              <w:rPr>
                <w:rStyle w:val="Strong"/>
                <w:i/>
                <w:iCs/>
                <w:color w:val="FF0000"/>
              </w:rPr>
              <w:t>What are noteworthy trends shaping the Middle East &amp; North Africa Refining market?</w:t>
            </w:r>
          </w:p>
          <w:p w:rsidR="00000000" w:rsidRDefault="00ED0AED">
            <w:pPr>
              <w:pStyle w:val="NormalWeb"/>
            </w:pPr>
            <w:r>
              <w:rPr>
                <w:rFonts w:ascii="Arial" w:hAnsi="Arial" w:cs="Arial"/>
                <w:sz w:val="20"/>
                <w:szCs w:val="20"/>
              </w:rPr>
              <w:t xml:space="preserve">The </w:t>
            </w:r>
            <w:hyperlink r:id="rId7" w:history="1">
              <w:r>
                <w:rPr>
                  <w:rStyle w:val="Hyperlink"/>
                  <w:rFonts w:ascii="Arial" w:hAnsi="Arial" w:cs="Arial"/>
                  <w:b/>
                  <w:bCs/>
                  <w:sz w:val="20"/>
                  <w:szCs w:val="20"/>
                </w:rPr>
                <w:t>Mid</w:t>
              </w:r>
              <w:r>
                <w:rPr>
                  <w:rStyle w:val="Hyperlink"/>
                  <w:rFonts w:ascii="Arial" w:hAnsi="Arial" w:cs="Arial"/>
                  <w:b/>
                  <w:bCs/>
                  <w:sz w:val="20"/>
                  <w:szCs w:val="20"/>
                </w:rPr>
                <w:t>dle East &amp; North Africa (MENA) Refining</w:t>
              </w:r>
            </w:hyperlink>
            <w:r>
              <w:rPr>
                <w:rFonts w:ascii="Arial" w:hAnsi="Arial" w:cs="Arial"/>
                <w:sz w:val="20"/>
                <w:szCs w:val="20"/>
              </w:rPr>
              <w:t xml:space="preserve"> is back for the second year and this time, it aims to give an analysis on global energy demand and refining margins, key refining development plans and macro economic outlook in the region.</w:t>
            </w:r>
          </w:p>
          <w:p w:rsidR="00000000" w:rsidRDefault="00ED0AED">
            <w:pPr>
              <w:pStyle w:val="NormalWeb"/>
            </w:pPr>
            <w:hyperlink r:id="rId8" w:history="1">
              <w:r>
                <w:rPr>
                  <w:rStyle w:val="Hyperlink"/>
                  <w:rFonts w:ascii="Arial" w:hAnsi="Arial" w:cs="Arial"/>
                  <w:b/>
                  <w:bCs/>
                  <w:sz w:val="20"/>
                  <w:szCs w:val="20"/>
                </w:rPr>
                <w:t>2nd MENA Refining</w:t>
              </w:r>
            </w:hyperlink>
            <w:r>
              <w:rPr>
                <w:rFonts w:ascii="Arial" w:hAnsi="Arial" w:cs="Arial"/>
                <w:sz w:val="20"/>
                <w:szCs w:val="20"/>
              </w:rPr>
              <w:t xml:space="preserve"> conference will provide you with insights on latest trends, developments and challenges facing the MENA refining market. </w:t>
            </w:r>
          </w:p>
          <w:p w:rsidR="00000000" w:rsidRDefault="00ED0AED">
            <w:pPr>
              <w:pStyle w:val="NormalWeb"/>
            </w:pPr>
            <w:r>
              <w:rPr>
                <w:rFonts w:ascii="Arial" w:hAnsi="Arial" w:cs="Arial"/>
                <w:sz w:val="20"/>
                <w:szCs w:val="20"/>
              </w:rPr>
              <w:t>As a matter of fact, I am pleased to share with you the to</w:t>
            </w:r>
            <w:r>
              <w:rPr>
                <w:rFonts w:ascii="Arial" w:hAnsi="Arial" w:cs="Arial"/>
                <w:sz w:val="20"/>
                <w:szCs w:val="20"/>
              </w:rPr>
              <w:t xml:space="preserve">pics on </w:t>
            </w:r>
            <w:r>
              <w:rPr>
                <w:rStyle w:val="Strong"/>
                <w:rFonts w:ascii="Arial" w:hAnsi="Arial" w:cs="Arial"/>
                <w:sz w:val="20"/>
                <w:szCs w:val="20"/>
              </w:rPr>
              <w:t>Morocco, Libya, Kuwait</w:t>
            </w:r>
            <w:r>
              <w:rPr>
                <w:rFonts w:ascii="Arial" w:hAnsi="Arial" w:cs="Arial"/>
                <w:sz w:val="20"/>
                <w:szCs w:val="20"/>
              </w:rPr>
              <w:t xml:space="preserve"> and </w:t>
            </w:r>
            <w:r>
              <w:rPr>
                <w:rStyle w:val="Strong"/>
                <w:rFonts w:ascii="Arial" w:hAnsi="Arial" w:cs="Arial"/>
                <w:sz w:val="20"/>
                <w:szCs w:val="20"/>
              </w:rPr>
              <w:t>Saudi Arabia</w:t>
            </w:r>
            <w:r>
              <w:rPr>
                <w:rFonts w:ascii="Arial" w:hAnsi="Arial" w:cs="Arial"/>
                <w:sz w:val="20"/>
                <w:szCs w:val="20"/>
              </w:rPr>
              <w:t xml:space="preserve"> that will be discussed at the meet.</w:t>
            </w:r>
          </w:p>
          <w:p w:rsidR="00000000" w:rsidRDefault="00ED0AED">
            <w:pPr>
              <w:pStyle w:val="NormalWeb"/>
            </w:pPr>
            <w:r>
              <w:rPr>
                <w:rFonts w:ascii="Arial" w:hAnsi="Arial" w:cs="Arial"/>
                <w:sz w:val="20"/>
                <w:szCs w:val="20"/>
              </w:rPr>
              <w:t xml:space="preserve">At the 12-13 October meet in </w:t>
            </w:r>
            <w:r>
              <w:rPr>
                <w:rStyle w:val="Strong"/>
                <w:rFonts w:ascii="Arial" w:hAnsi="Arial" w:cs="Arial"/>
                <w:sz w:val="20"/>
                <w:szCs w:val="20"/>
              </w:rPr>
              <w:t>Manama</w:t>
            </w:r>
            <w:r>
              <w:rPr>
                <w:rFonts w:ascii="Arial" w:hAnsi="Arial" w:cs="Arial"/>
                <w:sz w:val="20"/>
                <w:szCs w:val="20"/>
              </w:rPr>
              <w:t xml:space="preserve"> you’ll hear experts address:</w:t>
            </w:r>
          </w:p>
          <w:p w:rsidR="00000000" w:rsidRDefault="00ED0AED">
            <w:pPr>
              <w:numPr>
                <w:ilvl w:val="0"/>
                <w:numId w:val="1"/>
              </w:numPr>
              <w:spacing w:before="100" w:beforeAutospacing="1" w:after="100" w:afterAutospacing="1"/>
              <w:rPr>
                <w:rFonts w:eastAsia="Times New Roman"/>
              </w:rPr>
            </w:pPr>
            <w:r>
              <w:rPr>
                <w:rFonts w:ascii="Arial" w:eastAsia="Times New Roman" w:hAnsi="Arial" w:cs="Arial"/>
                <w:sz w:val="20"/>
                <w:szCs w:val="20"/>
              </w:rPr>
              <w:t xml:space="preserve">Status on the Modernization of Morocco’s </w:t>
            </w:r>
            <w:proofErr w:type="spellStart"/>
            <w:r>
              <w:rPr>
                <w:rFonts w:ascii="Arial" w:eastAsia="Times New Roman" w:hAnsi="Arial" w:cs="Arial"/>
                <w:sz w:val="20"/>
                <w:szCs w:val="20"/>
              </w:rPr>
              <w:t>Mohammedia</w:t>
            </w:r>
            <w:proofErr w:type="spellEnd"/>
            <w:r>
              <w:rPr>
                <w:rFonts w:ascii="Arial" w:eastAsia="Times New Roman" w:hAnsi="Arial" w:cs="Arial"/>
                <w:sz w:val="20"/>
                <w:szCs w:val="20"/>
              </w:rPr>
              <w:t xml:space="preserve"> Refinery Project</w:t>
            </w:r>
            <w:r>
              <w:rPr>
                <w:rFonts w:eastAsia="Times New Roman"/>
              </w:rPr>
              <w:br/>
            </w:r>
            <w:r>
              <w:rPr>
                <w:rStyle w:val="Strong"/>
                <w:rFonts w:ascii="Arial" w:eastAsia="Times New Roman" w:hAnsi="Arial" w:cs="Arial"/>
                <w:color w:val="660099"/>
                <w:sz w:val="20"/>
                <w:szCs w:val="20"/>
              </w:rPr>
              <w:t xml:space="preserve">SAMIR – </w:t>
            </w:r>
            <w:proofErr w:type="spellStart"/>
            <w:r>
              <w:rPr>
                <w:rStyle w:val="Strong"/>
                <w:rFonts w:ascii="Arial" w:eastAsia="Times New Roman" w:hAnsi="Arial" w:cs="Arial"/>
                <w:color w:val="660099"/>
                <w:sz w:val="20"/>
                <w:szCs w:val="20"/>
              </w:rPr>
              <w:t>Societe</w:t>
            </w:r>
            <w:proofErr w:type="spellEnd"/>
            <w:r>
              <w:rPr>
                <w:rStyle w:val="Strong"/>
                <w:rFonts w:ascii="Arial" w:eastAsia="Times New Roman" w:hAnsi="Arial" w:cs="Arial"/>
                <w:color w:val="660099"/>
                <w:sz w:val="20"/>
                <w:szCs w:val="20"/>
              </w:rPr>
              <w:t xml:space="preserve"> </w:t>
            </w:r>
            <w:proofErr w:type="spellStart"/>
            <w:r>
              <w:rPr>
                <w:rStyle w:val="Strong"/>
                <w:rFonts w:ascii="Arial" w:eastAsia="Times New Roman" w:hAnsi="Arial" w:cs="Arial"/>
                <w:color w:val="660099"/>
                <w:sz w:val="20"/>
                <w:szCs w:val="20"/>
              </w:rPr>
              <w:t>Anonyme</w:t>
            </w:r>
            <w:proofErr w:type="spellEnd"/>
            <w:r>
              <w:rPr>
                <w:rStyle w:val="Strong"/>
                <w:rFonts w:ascii="Arial" w:eastAsia="Times New Roman" w:hAnsi="Arial" w:cs="Arial"/>
                <w:color w:val="660099"/>
                <w:sz w:val="20"/>
                <w:szCs w:val="20"/>
              </w:rPr>
              <w:t xml:space="preserve"> </w:t>
            </w:r>
            <w:proofErr w:type="spellStart"/>
            <w:r>
              <w:rPr>
                <w:rStyle w:val="Strong"/>
                <w:rFonts w:ascii="Arial" w:eastAsia="Times New Roman" w:hAnsi="Arial" w:cs="Arial"/>
                <w:color w:val="660099"/>
                <w:sz w:val="20"/>
                <w:szCs w:val="20"/>
              </w:rPr>
              <w:t>Marocaine</w:t>
            </w:r>
            <w:proofErr w:type="spellEnd"/>
            <w:r>
              <w:rPr>
                <w:rStyle w:val="Strong"/>
                <w:rFonts w:ascii="Arial" w:eastAsia="Times New Roman" w:hAnsi="Arial" w:cs="Arial"/>
                <w:color w:val="660099"/>
                <w:sz w:val="20"/>
                <w:szCs w:val="20"/>
              </w:rPr>
              <w:t xml:space="preserve"> de </w:t>
            </w:r>
            <w:proofErr w:type="spellStart"/>
            <w:r>
              <w:rPr>
                <w:rStyle w:val="Strong"/>
                <w:rFonts w:ascii="Arial" w:eastAsia="Times New Roman" w:hAnsi="Arial" w:cs="Arial"/>
                <w:color w:val="660099"/>
                <w:sz w:val="20"/>
                <w:szCs w:val="20"/>
              </w:rPr>
              <w:t>l</w:t>
            </w:r>
            <w:r>
              <w:rPr>
                <w:rStyle w:val="Strong"/>
                <w:rFonts w:ascii="Arial" w:eastAsia="Times New Roman" w:hAnsi="Arial" w:cs="Arial"/>
                <w:color w:val="660099"/>
                <w:sz w:val="20"/>
                <w:szCs w:val="20"/>
              </w:rPr>
              <w:t>’Industrie</w:t>
            </w:r>
            <w:proofErr w:type="spellEnd"/>
            <w:r>
              <w:rPr>
                <w:rStyle w:val="Strong"/>
                <w:rFonts w:ascii="Arial" w:eastAsia="Times New Roman" w:hAnsi="Arial" w:cs="Arial"/>
                <w:color w:val="660099"/>
                <w:sz w:val="20"/>
                <w:szCs w:val="20"/>
              </w:rPr>
              <w:t xml:space="preserve"> du </w:t>
            </w:r>
            <w:proofErr w:type="spellStart"/>
            <w:r>
              <w:rPr>
                <w:rStyle w:val="Strong"/>
                <w:rFonts w:ascii="Arial" w:eastAsia="Times New Roman" w:hAnsi="Arial" w:cs="Arial"/>
                <w:color w:val="660099"/>
                <w:sz w:val="20"/>
                <w:szCs w:val="20"/>
              </w:rPr>
              <w:t>Raffinage</w:t>
            </w:r>
            <w:proofErr w:type="spellEnd"/>
          </w:p>
          <w:p w:rsidR="00000000" w:rsidRDefault="00ED0AED">
            <w:pPr>
              <w:numPr>
                <w:ilvl w:val="0"/>
                <w:numId w:val="2"/>
              </w:numPr>
              <w:spacing w:before="100" w:beforeAutospacing="1" w:after="100" w:afterAutospacing="1"/>
              <w:rPr>
                <w:rFonts w:eastAsia="Times New Roman"/>
              </w:rPr>
            </w:pPr>
            <w:r>
              <w:rPr>
                <w:rFonts w:ascii="Arial" w:eastAsia="Times New Roman" w:hAnsi="Arial" w:cs="Arial"/>
                <w:sz w:val="20"/>
                <w:szCs w:val="20"/>
              </w:rPr>
              <w:t xml:space="preserve">Libya’s Energy Cities Master Plan for Al </w:t>
            </w:r>
            <w:proofErr w:type="spellStart"/>
            <w:r>
              <w:rPr>
                <w:rFonts w:ascii="Arial" w:eastAsia="Times New Roman" w:hAnsi="Arial" w:cs="Arial"/>
                <w:sz w:val="20"/>
                <w:szCs w:val="20"/>
              </w:rPr>
              <w:t>Brega</w:t>
            </w:r>
            <w:proofErr w:type="spellEnd"/>
            <w:r>
              <w:rPr>
                <w:rFonts w:ascii="Arial" w:eastAsia="Times New Roman" w:hAnsi="Arial" w:cs="Arial"/>
                <w:sz w:val="20"/>
                <w:szCs w:val="20"/>
              </w:rPr>
              <w:t xml:space="preserve"> and </w:t>
            </w:r>
            <w:proofErr w:type="spellStart"/>
            <w:r>
              <w:rPr>
                <w:rFonts w:ascii="Arial" w:eastAsia="Times New Roman" w:hAnsi="Arial" w:cs="Arial"/>
                <w:sz w:val="20"/>
                <w:szCs w:val="20"/>
              </w:rPr>
              <w:t>Ras</w:t>
            </w:r>
            <w:proofErr w:type="spellEnd"/>
            <w:r>
              <w:rPr>
                <w:rFonts w:ascii="Arial" w:eastAsia="Times New Roman" w:hAnsi="Arial" w:cs="Arial"/>
                <w:sz w:val="20"/>
                <w:szCs w:val="20"/>
              </w:rPr>
              <w:t xml:space="preserve"> </w:t>
            </w:r>
            <w:proofErr w:type="spellStart"/>
            <w:r>
              <w:rPr>
                <w:rFonts w:ascii="Arial" w:eastAsia="Times New Roman" w:hAnsi="Arial" w:cs="Arial"/>
                <w:sz w:val="20"/>
                <w:szCs w:val="20"/>
              </w:rPr>
              <w:t>Lanuf</w:t>
            </w:r>
            <w:proofErr w:type="spellEnd"/>
            <w:r>
              <w:rPr>
                <w:rFonts w:ascii="Arial" w:eastAsia="Times New Roman" w:hAnsi="Arial" w:cs="Arial"/>
                <w:sz w:val="20"/>
                <w:szCs w:val="20"/>
              </w:rPr>
              <w:t xml:space="preserve"> – Refinery and Petrochemical Opportunities</w:t>
            </w:r>
            <w:r>
              <w:rPr>
                <w:rFonts w:eastAsia="Times New Roman"/>
              </w:rPr>
              <w:br/>
            </w:r>
            <w:r>
              <w:rPr>
                <w:rStyle w:val="Strong"/>
                <w:rFonts w:ascii="Arial" w:eastAsia="Times New Roman" w:hAnsi="Arial" w:cs="Arial"/>
                <w:color w:val="660099"/>
                <w:sz w:val="20"/>
                <w:szCs w:val="20"/>
              </w:rPr>
              <w:t xml:space="preserve">Energy Cities Master Plan, Al </w:t>
            </w:r>
            <w:proofErr w:type="spellStart"/>
            <w:r>
              <w:rPr>
                <w:rStyle w:val="Strong"/>
                <w:rFonts w:ascii="Arial" w:eastAsia="Times New Roman" w:hAnsi="Arial" w:cs="Arial"/>
                <w:color w:val="660099"/>
                <w:sz w:val="20"/>
                <w:szCs w:val="20"/>
              </w:rPr>
              <w:t>Brega</w:t>
            </w:r>
            <w:proofErr w:type="spellEnd"/>
            <w:r>
              <w:rPr>
                <w:rStyle w:val="Strong"/>
                <w:rFonts w:ascii="Arial" w:eastAsia="Times New Roman" w:hAnsi="Arial" w:cs="Arial"/>
                <w:color w:val="660099"/>
                <w:sz w:val="20"/>
                <w:szCs w:val="20"/>
              </w:rPr>
              <w:t xml:space="preserve"> and </w:t>
            </w:r>
            <w:proofErr w:type="spellStart"/>
            <w:r>
              <w:rPr>
                <w:rStyle w:val="Strong"/>
                <w:rFonts w:ascii="Arial" w:eastAsia="Times New Roman" w:hAnsi="Arial" w:cs="Arial"/>
                <w:color w:val="660099"/>
                <w:sz w:val="20"/>
                <w:szCs w:val="20"/>
              </w:rPr>
              <w:t>Ras</w:t>
            </w:r>
            <w:proofErr w:type="spellEnd"/>
            <w:r>
              <w:rPr>
                <w:rStyle w:val="Strong"/>
                <w:rFonts w:ascii="Arial" w:eastAsia="Times New Roman" w:hAnsi="Arial" w:cs="Arial"/>
                <w:color w:val="660099"/>
                <w:sz w:val="20"/>
                <w:szCs w:val="20"/>
              </w:rPr>
              <w:t xml:space="preserve"> </w:t>
            </w:r>
            <w:proofErr w:type="spellStart"/>
            <w:r>
              <w:rPr>
                <w:rStyle w:val="Strong"/>
                <w:rFonts w:ascii="Arial" w:eastAsia="Times New Roman" w:hAnsi="Arial" w:cs="Arial"/>
                <w:color w:val="660099"/>
                <w:sz w:val="20"/>
                <w:szCs w:val="20"/>
              </w:rPr>
              <w:t>Lanuf</w:t>
            </w:r>
            <w:proofErr w:type="spellEnd"/>
            <w:r>
              <w:rPr>
                <w:rStyle w:val="Strong"/>
                <w:rFonts w:ascii="Arial" w:eastAsia="Times New Roman" w:hAnsi="Arial" w:cs="Arial"/>
                <w:color w:val="660099"/>
                <w:sz w:val="20"/>
                <w:szCs w:val="20"/>
              </w:rPr>
              <w:t>, Libya, Fluor Enterprise, Inc</w:t>
            </w:r>
          </w:p>
          <w:p w:rsidR="00000000" w:rsidRDefault="00ED0AED">
            <w:pPr>
              <w:numPr>
                <w:ilvl w:val="0"/>
                <w:numId w:val="3"/>
              </w:numPr>
              <w:spacing w:before="100" w:beforeAutospacing="1" w:after="100" w:afterAutospacing="1"/>
              <w:rPr>
                <w:rFonts w:eastAsia="Times New Roman"/>
              </w:rPr>
            </w:pPr>
            <w:r>
              <w:rPr>
                <w:rFonts w:ascii="Arial" w:eastAsia="Times New Roman" w:hAnsi="Arial" w:cs="Arial"/>
                <w:sz w:val="20"/>
                <w:szCs w:val="20"/>
              </w:rPr>
              <w:t>Supply Chain Implementation in KNPC</w:t>
            </w:r>
            <w:r>
              <w:rPr>
                <w:rFonts w:eastAsia="Times New Roman"/>
              </w:rPr>
              <w:br/>
            </w:r>
            <w:r>
              <w:rPr>
                <w:rStyle w:val="Strong"/>
                <w:rFonts w:ascii="Arial" w:eastAsia="Times New Roman" w:hAnsi="Arial" w:cs="Arial"/>
                <w:color w:val="660099"/>
                <w:sz w:val="20"/>
                <w:szCs w:val="20"/>
              </w:rPr>
              <w:t>Kuwait Natio</w:t>
            </w:r>
            <w:r>
              <w:rPr>
                <w:rStyle w:val="Strong"/>
                <w:rFonts w:ascii="Arial" w:eastAsia="Times New Roman" w:hAnsi="Arial" w:cs="Arial"/>
                <w:color w:val="660099"/>
                <w:sz w:val="20"/>
                <w:szCs w:val="20"/>
              </w:rPr>
              <w:t>nal Petroleum Company (KNPC)</w:t>
            </w:r>
          </w:p>
          <w:p w:rsidR="00000000" w:rsidRDefault="00ED0AED">
            <w:pPr>
              <w:numPr>
                <w:ilvl w:val="0"/>
                <w:numId w:val="4"/>
              </w:numPr>
              <w:spacing w:before="100" w:beforeAutospacing="1" w:after="100" w:afterAutospacing="1"/>
              <w:rPr>
                <w:rFonts w:eastAsia="Times New Roman"/>
              </w:rPr>
            </w:pPr>
            <w:r>
              <w:rPr>
                <w:rFonts w:ascii="Arial" w:eastAsia="Times New Roman" w:hAnsi="Arial" w:cs="Arial"/>
                <w:sz w:val="20"/>
                <w:szCs w:val="20"/>
              </w:rPr>
              <w:t>Macro Economic Outlook &amp; Impact on Global Energy Demand</w:t>
            </w:r>
            <w:r>
              <w:rPr>
                <w:rFonts w:eastAsia="Times New Roman"/>
              </w:rPr>
              <w:br/>
            </w:r>
            <w:r>
              <w:rPr>
                <w:rStyle w:val="Strong"/>
                <w:rFonts w:ascii="Arial" w:eastAsia="Times New Roman" w:hAnsi="Arial" w:cs="Arial"/>
                <w:color w:val="660099"/>
                <w:sz w:val="20"/>
                <w:szCs w:val="20"/>
              </w:rPr>
              <w:t>Saudi Association of Energy Economics</w:t>
            </w:r>
          </w:p>
          <w:p w:rsidR="00000000" w:rsidRDefault="00ED0AED">
            <w:pPr>
              <w:pStyle w:val="NormalWeb"/>
            </w:pPr>
            <w:r>
              <w:rPr>
                <w:rFonts w:ascii="Arial" w:hAnsi="Arial" w:cs="Arial"/>
                <w:sz w:val="20"/>
                <w:szCs w:val="20"/>
              </w:rPr>
              <w:t xml:space="preserve">In short, get essential industry reviews and other valuable updates along with fresh business contacts and potential partners at the </w:t>
            </w:r>
            <w:hyperlink r:id="rId9" w:history="1">
              <w:r>
                <w:rPr>
                  <w:rStyle w:val="Hyperlink"/>
                  <w:rFonts w:ascii="Arial" w:hAnsi="Arial" w:cs="Arial"/>
                  <w:b/>
                  <w:bCs/>
                  <w:sz w:val="20"/>
                  <w:szCs w:val="20"/>
                </w:rPr>
                <w:t>2nd MENA Refining</w:t>
              </w:r>
            </w:hyperlink>
            <w:r>
              <w:rPr>
                <w:rFonts w:ascii="Arial" w:hAnsi="Arial" w:cs="Arial"/>
                <w:sz w:val="20"/>
                <w:szCs w:val="20"/>
              </w:rPr>
              <w:t xml:space="preserve"> conference!</w:t>
            </w:r>
          </w:p>
          <w:p w:rsidR="00000000" w:rsidRDefault="00ED0AED">
            <w:pPr>
              <w:pStyle w:val="NormalWeb"/>
            </w:pPr>
            <w:r>
              <w:rPr>
                <w:rFonts w:ascii="Arial" w:hAnsi="Arial" w:cs="Arial"/>
                <w:sz w:val="20"/>
                <w:szCs w:val="20"/>
              </w:rPr>
              <w:t xml:space="preserve">So what are you waiting for? Send in your registrations for the conference via our convenient </w:t>
            </w:r>
            <w:hyperlink r:id="rId10" w:history="1">
              <w:r>
                <w:rPr>
                  <w:rStyle w:val="Hyperlink"/>
                  <w:rFonts w:ascii="Arial" w:hAnsi="Arial" w:cs="Arial"/>
                  <w:sz w:val="20"/>
                  <w:szCs w:val="20"/>
                </w:rPr>
                <w:t>online registration</w:t>
              </w:r>
            </w:hyperlink>
            <w:r>
              <w:rPr>
                <w:rFonts w:ascii="Arial" w:hAnsi="Arial" w:cs="Arial"/>
                <w:sz w:val="20"/>
                <w:szCs w:val="20"/>
              </w:rPr>
              <w:t xml:space="preserve"> page. Click below to access:</w:t>
            </w:r>
          </w:p>
          <w:p w:rsidR="00000000" w:rsidRDefault="00ED0AED" w:rsidP="00ED0AED">
            <w:pPr>
              <w:pStyle w:val="NormalWeb"/>
              <w:jc w:val="center"/>
            </w:pPr>
            <w:r>
              <w:rPr>
                <w:rFonts w:ascii="Arial" w:hAnsi="Arial" w:cs="Arial"/>
                <w:noProof/>
                <w:color w:val="0000FF"/>
                <w:sz w:val="20"/>
                <w:szCs w:val="20"/>
              </w:rPr>
              <w:drawing>
                <wp:inline distT="0" distB="0" distL="0" distR="0">
                  <wp:extent cx="1428750" cy="190500"/>
                  <wp:effectExtent l="19050" t="0" r="0" b="0"/>
                  <wp:docPr id="2" name="Picture 2" descr="http://www.cmtevents.com/EVENTDATAS/101026/others/RegisterNow11.gif">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mtevents.com/EVENTDATAS/101026/others/RegisterNow11.gif">
                            <a:hlinkClick r:id="rId10" tgtFrame="&quot;_blank&quot;"/>
                          </pic:cNvPr>
                          <pic:cNvPicPr>
                            <a:picLocks noChangeAspect="1" noChangeArrowheads="1"/>
                          </pic:cNvPicPr>
                        </pic:nvPicPr>
                        <pic:blipFill>
                          <a:blip r:link="rId11" cstate="print"/>
                          <a:srcRect/>
                          <a:stretch>
                            <a:fillRect/>
                          </a:stretch>
                        </pic:blipFill>
                        <pic:spPr bwMode="auto">
                          <a:xfrm>
                            <a:off x="0" y="0"/>
                            <a:ext cx="1428750" cy="190500"/>
                          </a:xfrm>
                          <a:prstGeom prst="rect">
                            <a:avLst/>
                          </a:prstGeom>
                          <a:noFill/>
                          <a:ln w="9525">
                            <a:noFill/>
                            <a:miter lim="800000"/>
                            <a:headEnd/>
                            <a:tailEnd/>
                          </a:ln>
                        </pic:spPr>
                      </pic:pic>
                    </a:graphicData>
                  </a:graphic>
                </wp:inline>
              </w:drawing>
            </w:r>
          </w:p>
          <w:p w:rsidR="00000000" w:rsidRDefault="00ED0AED">
            <w:pPr>
              <w:pStyle w:val="NormalWeb"/>
            </w:pPr>
            <w:r>
              <w:rPr>
                <w:rFonts w:ascii="Arial" w:hAnsi="Arial" w:cs="Arial"/>
                <w:sz w:val="20"/>
                <w:szCs w:val="20"/>
              </w:rPr>
              <w:t xml:space="preserve">See you in </w:t>
            </w:r>
            <w:r>
              <w:rPr>
                <w:rStyle w:val="Strong"/>
                <w:rFonts w:ascii="Arial" w:hAnsi="Arial" w:cs="Arial"/>
                <w:sz w:val="20"/>
                <w:szCs w:val="20"/>
              </w:rPr>
              <w:t>Manama</w:t>
            </w:r>
            <w:r>
              <w:rPr>
                <w:rFonts w:ascii="Arial" w:hAnsi="Arial" w:cs="Arial"/>
                <w:sz w:val="20"/>
                <w:szCs w:val="20"/>
              </w:rPr>
              <w:t>!</w:t>
            </w:r>
          </w:p>
          <w:tbl>
            <w:tblPr>
              <w:tblW w:w="9750" w:type="dxa"/>
              <w:tblCellSpacing w:w="0" w:type="dxa"/>
              <w:tblCellMar>
                <w:left w:w="0" w:type="dxa"/>
                <w:right w:w="0" w:type="dxa"/>
              </w:tblCellMar>
              <w:tblLook w:val="04A0"/>
            </w:tblPr>
            <w:tblGrid>
              <w:gridCol w:w="6567"/>
              <w:gridCol w:w="3183"/>
            </w:tblGrid>
            <w:tr w:rsidR="00000000">
              <w:trPr>
                <w:tblCellSpacing w:w="0" w:type="dxa"/>
              </w:trPr>
              <w:tc>
                <w:tcPr>
                  <w:tcW w:w="0" w:type="auto"/>
                  <w:vAlign w:val="center"/>
                  <w:hideMark/>
                </w:tcPr>
                <w:p w:rsidR="00000000" w:rsidRDefault="00ED0AED">
                  <w:pPr>
                    <w:pStyle w:val="NormalWeb"/>
                  </w:pPr>
                  <w:r>
                    <w:rPr>
                      <w:rFonts w:ascii="Arial" w:hAnsi="Arial" w:cs="Arial"/>
                      <w:sz w:val="20"/>
                      <w:szCs w:val="20"/>
                    </w:rPr>
                    <w:t>Best Regards,</w:t>
                  </w:r>
                </w:p>
                <w:p w:rsidR="00000000" w:rsidRDefault="00ED0AED">
                  <w:pPr>
                    <w:pStyle w:val="NormalWeb"/>
                  </w:pPr>
                  <w:r>
                    <w:rPr>
                      <w:rStyle w:val="Strong"/>
                      <w:rFonts w:ascii="Arial" w:hAnsi="Arial" w:cs="Arial"/>
                      <w:sz w:val="20"/>
                      <w:szCs w:val="20"/>
                    </w:rPr>
                    <w:t xml:space="preserve">Fu Huiyan </w:t>
                  </w:r>
                  <w:r>
                    <w:rPr>
                      <w:rStyle w:val="Strong"/>
                      <w:rFonts w:ascii="Arial" w:hAnsi="Arial" w:cs="Arial"/>
                      <w:sz w:val="20"/>
                      <w:szCs w:val="20"/>
                    </w:rPr>
                    <w:t>(Miss)</w:t>
                  </w:r>
                  <w:r>
                    <w:rPr>
                      <w:rStyle w:val="Emphasis"/>
                      <w:rFonts w:ascii="Arial" w:hAnsi="Arial" w:cs="Arial"/>
                      <w:sz w:val="20"/>
                      <w:szCs w:val="20"/>
                    </w:rPr>
                    <w:t xml:space="preserve"> - Marketing Team</w:t>
                  </w:r>
                  <w:r>
                    <w:rPr>
                      <w:rFonts w:ascii="Arial" w:hAnsi="Arial" w:cs="Arial"/>
                      <w:i/>
                      <w:iCs/>
                      <w:sz w:val="20"/>
                      <w:szCs w:val="20"/>
                    </w:rPr>
                    <w:br/>
                  </w:r>
                  <w:r>
                    <w:rPr>
                      <w:rStyle w:val="Strong"/>
                      <w:rFonts w:ascii="Arial" w:hAnsi="Arial" w:cs="Arial"/>
                      <w:color w:val="660000"/>
                      <w:sz w:val="20"/>
                      <w:szCs w:val="20"/>
                    </w:rPr>
                    <w:t>CMT - Centre for Management Technology</w:t>
                  </w:r>
                  <w:r>
                    <w:br/>
                  </w:r>
                  <w:r>
                    <w:rPr>
                      <w:rFonts w:ascii="Arial" w:hAnsi="Arial" w:cs="Arial"/>
                      <w:sz w:val="20"/>
                      <w:szCs w:val="20"/>
                    </w:rPr>
                    <w:t>Tel:</w:t>
                  </w:r>
                  <w:r>
                    <w:rPr>
                      <w:rFonts w:ascii="Arial" w:hAnsi="Arial" w:cs="Arial"/>
                      <w:color w:val="CC3300"/>
                      <w:sz w:val="20"/>
                      <w:szCs w:val="20"/>
                    </w:rPr>
                    <w:t xml:space="preserve">+65 6346 9113 </w:t>
                  </w:r>
                  <w:r>
                    <w:rPr>
                      <w:rFonts w:ascii="Arial" w:hAnsi="Arial" w:cs="Arial"/>
                      <w:sz w:val="20"/>
                      <w:szCs w:val="20"/>
                    </w:rPr>
                    <w:br/>
                    <w:t>Fax:</w:t>
                  </w:r>
                  <w:r>
                    <w:rPr>
                      <w:rFonts w:ascii="Arial" w:hAnsi="Arial" w:cs="Arial"/>
                      <w:color w:val="CC3300"/>
                      <w:sz w:val="20"/>
                      <w:szCs w:val="20"/>
                    </w:rPr>
                    <w:t>+65 6345 5928</w:t>
                  </w:r>
                  <w:r>
                    <w:br/>
                  </w:r>
                  <w:r>
                    <w:rPr>
                      <w:rFonts w:ascii="Arial" w:hAnsi="Arial" w:cs="Arial"/>
                      <w:sz w:val="20"/>
                      <w:szCs w:val="20"/>
                    </w:rPr>
                    <w:t xml:space="preserve">Email: </w:t>
                  </w:r>
                  <w:hyperlink r:id="rId12" w:history="1">
                    <w:r>
                      <w:rPr>
                        <w:rStyle w:val="Hyperlink"/>
                        <w:rFonts w:ascii="Arial" w:hAnsi="Arial" w:cs="Arial"/>
                        <w:sz w:val="20"/>
                        <w:szCs w:val="20"/>
                      </w:rPr>
                      <w:t>huiyan@cmtsp.com.sg</w:t>
                    </w:r>
                  </w:hyperlink>
                  <w:r>
                    <w:br/>
                  </w:r>
                  <w:r>
                    <w:rPr>
                      <w:rFonts w:ascii="Arial" w:hAnsi="Arial" w:cs="Arial"/>
                      <w:sz w:val="20"/>
                      <w:szCs w:val="20"/>
                    </w:rPr>
                    <w:t xml:space="preserve">Website: </w:t>
                  </w:r>
                  <w:hyperlink r:id="rId13" w:history="1">
                    <w:r>
                      <w:rPr>
                        <w:rStyle w:val="Hyperlink"/>
                        <w:rFonts w:ascii="Arial" w:hAnsi="Arial" w:cs="Arial"/>
                        <w:sz w:val="20"/>
                        <w:szCs w:val="20"/>
                      </w:rPr>
                      <w:t>www.cmtevents.com</w:t>
                    </w:r>
                  </w:hyperlink>
                </w:p>
              </w:tc>
              <w:tc>
                <w:tcPr>
                  <w:tcW w:w="0" w:type="auto"/>
                  <w:vAlign w:val="center"/>
                  <w:hideMark/>
                </w:tcPr>
                <w:p w:rsidR="00000000" w:rsidRDefault="00ED0AED">
                  <w:pPr>
                    <w:pStyle w:val="NormalWeb"/>
                    <w:jc w:val="center"/>
                  </w:pPr>
                  <w:r>
                    <w:rPr>
                      <w:rStyle w:val="Strong"/>
                      <w:rFonts w:ascii="Arial" w:hAnsi="Arial" w:cs="Arial"/>
                      <w:i/>
                      <w:iCs/>
                      <w:color w:val="660066"/>
                      <w:sz w:val="20"/>
                      <w:szCs w:val="20"/>
                    </w:rPr>
                    <w:t>Organised by</w:t>
                  </w:r>
                </w:p>
                <w:p w:rsidR="00000000" w:rsidRDefault="00ED0AED">
                  <w:pPr>
                    <w:pStyle w:val="NormalWeb"/>
                    <w:jc w:val="center"/>
                  </w:pPr>
                  <w:r>
                    <w:rPr>
                      <w:noProof/>
                    </w:rPr>
                    <w:drawing>
                      <wp:inline distT="0" distB="0" distL="0" distR="0">
                        <wp:extent cx="1209675" cy="571500"/>
                        <wp:effectExtent l="19050" t="0" r="9525" b="0"/>
                        <wp:docPr id="3" name="Picture 3" descr="http://www.cmtevents.com/EVENTDATAS/101026/media/CMT2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mtevents.com/EVENTDATAS/101026/media/CMT27.gif"/>
                                <pic:cNvPicPr>
                                  <a:picLocks noChangeAspect="1" noChangeArrowheads="1"/>
                                </pic:cNvPicPr>
                              </pic:nvPicPr>
                              <pic:blipFill>
                                <a:blip r:link="rId14" cstate="print"/>
                                <a:srcRect/>
                                <a:stretch>
                                  <a:fillRect/>
                                </a:stretch>
                              </pic:blipFill>
                              <pic:spPr bwMode="auto">
                                <a:xfrm>
                                  <a:off x="0" y="0"/>
                                  <a:ext cx="1209675" cy="571500"/>
                                </a:xfrm>
                                <a:prstGeom prst="rect">
                                  <a:avLst/>
                                </a:prstGeom>
                                <a:noFill/>
                                <a:ln w="9525">
                                  <a:noFill/>
                                  <a:miter lim="800000"/>
                                  <a:headEnd/>
                                  <a:tailEnd/>
                                </a:ln>
                              </pic:spPr>
                            </pic:pic>
                          </a:graphicData>
                        </a:graphic>
                      </wp:inline>
                    </w:drawing>
                  </w:r>
                </w:p>
              </w:tc>
            </w:tr>
            <w:tr w:rsidR="00000000">
              <w:trPr>
                <w:tblCellSpacing w:w="0" w:type="dxa"/>
              </w:trPr>
              <w:tc>
                <w:tcPr>
                  <w:tcW w:w="0" w:type="auto"/>
                  <w:gridSpan w:val="2"/>
                  <w:shd w:val="clear" w:color="auto" w:fill="CCCCFF"/>
                  <w:vAlign w:val="center"/>
                  <w:hideMark/>
                </w:tcPr>
                <w:p w:rsidR="00000000" w:rsidRDefault="00ED0AED">
                  <w:pPr>
                    <w:jc w:val="center"/>
                    <w:rPr>
                      <w:rFonts w:eastAsia="Times New Roman"/>
                    </w:rPr>
                  </w:pPr>
                  <w:hyperlink r:id="rId15" w:history="1">
                    <w:r>
                      <w:rPr>
                        <w:rStyle w:val="Strong"/>
                        <w:rFonts w:ascii="Arial" w:eastAsia="Times New Roman" w:hAnsi="Arial" w:cs="Arial"/>
                        <w:color w:val="0000FF"/>
                        <w:sz w:val="20"/>
                        <w:szCs w:val="20"/>
                        <w:u w:val="single"/>
                      </w:rPr>
                      <w:t>Save Dates</w:t>
                    </w:r>
                  </w:hyperlink>
                  <w:r>
                    <w:rPr>
                      <w:rFonts w:ascii="Arial" w:eastAsia="Times New Roman" w:hAnsi="Arial" w:cs="Arial"/>
                      <w:sz w:val="20"/>
                      <w:szCs w:val="20"/>
                    </w:rPr>
                    <w:t xml:space="preserve"> | </w:t>
                  </w:r>
                  <w:hyperlink r:id="rId16" w:history="1">
                    <w:r>
                      <w:rPr>
                        <w:rStyle w:val="Hyperlink"/>
                        <w:rFonts w:ascii="Arial" w:eastAsia="Times New Roman" w:hAnsi="Arial" w:cs="Arial"/>
                        <w:b/>
                        <w:bCs/>
                        <w:sz w:val="20"/>
                        <w:szCs w:val="20"/>
                      </w:rPr>
                      <w:t>Send to a Friend</w:t>
                    </w:r>
                  </w:hyperlink>
                </w:p>
              </w:tc>
            </w:tr>
          </w:tbl>
          <w:p w:rsidR="00000000" w:rsidRDefault="00ED0AED">
            <w:pPr>
              <w:rPr>
                <w:rFonts w:eastAsia="Times New Roman"/>
              </w:rPr>
            </w:pPr>
          </w:p>
        </w:tc>
      </w:tr>
    </w:tbl>
    <w:p w:rsidR="00000000" w:rsidRDefault="00ED0AED">
      <w:pPr>
        <w:pStyle w:val="NormalWeb"/>
      </w:pPr>
      <w:r>
        <w:t> </w:t>
      </w:r>
    </w:p>
    <w:p w:rsidR="00000000" w:rsidRDefault="00ED0AED">
      <w:pPr>
        <w:pStyle w:val="NormalWeb"/>
      </w:pPr>
      <w:r>
        <w:t> </w:t>
      </w:r>
    </w:p>
    <w:p w:rsidR="00000000" w:rsidRDefault="00ED0AED">
      <w:pPr>
        <w:pStyle w:val="NormalWeb"/>
      </w:pPr>
      <w:r>
        <w:t> </w:t>
      </w:r>
    </w:p>
    <w:sectPr w:rsidR="0000000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FF6FA7"/>
    <w:multiLevelType w:val="multilevel"/>
    <w:tmpl w:val="8AF42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9B392F"/>
    <w:multiLevelType w:val="multilevel"/>
    <w:tmpl w:val="D9DA3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8E82B20"/>
    <w:multiLevelType w:val="multilevel"/>
    <w:tmpl w:val="484A9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68D766D"/>
    <w:multiLevelType w:val="multilevel"/>
    <w:tmpl w:val="2B664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grammar="clean"/>
  <w:defaultTabStop w:val="720"/>
  <w:noPunctuationKerning/>
  <w:characterSpacingControl w:val="doNotCompress"/>
  <w:compat/>
  <w:rsids>
    <w:rsidRoot w:val="00B702BC"/>
    <w:rsid w:val="00B702BC"/>
    <w:rsid w:val="00ED0AED"/>
  </w:rsids>
  <m:mathPr>
    <m:mathFont m:val="Cambria Math"/>
    <m:brkBin m:val="before"/>
    <m:brkBinSub m:val="--"/>
    <m:smallFrac m:val="off"/>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SG"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p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mtevents.com/main.aspx?ev=101026&amp;st=18&amp;pg=Sc&amp;em=%5bemail%5d" TargetMode="External"/><Relationship Id="rId13" Type="http://schemas.openxmlformats.org/officeDocument/2006/relationships/hyperlink" Target="http://www.cmtevents.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mtevents.com/main.aspx?ev=101026&amp;st=18&amp;pg=Sc&amp;em=%5bemail%5d" TargetMode="External"/><Relationship Id="rId12" Type="http://schemas.openxmlformats.org/officeDocument/2006/relationships/hyperlink" Target="mailto:huiyan@cmtsp.com.s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cmtevents.com/tellafriend.aspx?ev=101026&amp;" TargetMode="External"/><Relationship Id="rId1" Type="http://schemas.openxmlformats.org/officeDocument/2006/relationships/numbering" Target="numbering.xml"/><Relationship Id="rId6" Type="http://schemas.openxmlformats.org/officeDocument/2006/relationships/image" Target="http://www.cmtevents.com/EVENTDATAS/101026/banner/101026(650x100pixels).gif" TargetMode="External"/><Relationship Id="rId11" Type="http://schemas.openxmlformats.org/officeDocument/2006/relationships/image" Target="http://www.cmtevents.com/EVENTDATAS/101026/others/RegisterNow11.gif" TargetMode="External"/><Relationship Id="rId5" Type="http://schemas.openxmlformats.org/officeDocument/2006/relationships/hyperlink" Target="http://www.cmtevents.com/main.aspx?ev=101026&amp;st=18&amp;pg=Sc&amp;em=%5bemail%5d" TargetMode="External"/><Relationship Id="rId15" Type="http://schemas.openxmlformats.org/officeDocument/2006/relationships/hyperlink" Target="http://www.cmtevents.com/returnvcs.aspx?Ev=101026&amp;" TargetMode="External"/><Relationship Id="rId10" Type="http://schemas.openxmlformats.org/officeDocument/2006/relationships/hyperlink" Target="http://www.cmtevents.com/main.aspx?ev=101026&amp;st=18&amp;pg=Rg&amp;em=%5bemail%5d&amp;" TargetMode="External"/><Relationship Id="rId4" Type="http://schemas.openxmlformats.org/officeDocument/2006/relationships/webSettings" Target="webSettings.xml"/><Relationship Id="rId9" Type="http://schemas.openxmlformats.org/officeDocument/2006/relationships/hyperlink" Target="http://www.cmtevents.com/main.aspx?ev=101026&amp;st=18&amp;pg=Sc&amp;em=%5bemail%5d" TargetMode="External"/><Relationship Id="rId14" Type="http://schemas.openxmlformats.org/officeDocument/2006/relationships/image" Target="http://www.cmtevents.com/EVENTDATAS/101026/media/CMT27.gi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290</Words>
  <Characters>2095</Characters>
  <Application>Microsoft Office Word</Application>
  <DocSecurity>0</DocSecurity>
  <Lines>17</Lines>
  <Paragraphs>4</Paragraphs>
  <ScaleCrop>false</ScaleCrop>
  <Company>Microsoft</Company>
  <LinksUpToDate>false</LinksUpToDate>
  <CharactersWithSpaces>2381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2nd Middle East &amp; North Africa Refining | 12-13 Oct 2010, Manama, Bahrain</dc:title>
  <dc:creator>leelin</dc:creator>
  <cp:lastModifiedBy>leelin</cp:lastModifiedBy>
  <cp:revision>2</cp:revision>
  <dcterms:created xsi:type="dcterms:W3CDTF">2010-08-20T07:25:00Z</dcterms:created>
  <dcterms:modified xsi:type="dcterms:W3CDTF">2010-08-20T07:25:00Z</dcterms:modified>
</cp:coreProperties>
</file>