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CCFF"/>
  <w:body>
    <w:tbl>
      <w:tblPr>
        <w:tblW w:w="10500" w:type="dxa"/>
        <w:jc w:val="center"/>
        <w:tblCellSpacing w:w="0" w:type="dxa"/>
        <w:tblBorders>
          <w:top w:val="outset" w:sz="6" w:space="0" w:color="0033FF"/>
          <w:left w:val="outset" w:sz="6" w:space="0" w:color="0033FF"/>
          <w:bottom w:val="outset" w:sz="6" w:space="0" w:color="0033FF"/>
          <w:right w:val="outset" w:sz="6" w:space="0" w:color="0033FF"/>
        </w:tblBorders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10710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33FF"/>
              <w:left w:val="outset" w:sz="6" w:space="0" w:color="0033FF"/>
              <w:bottom w:val="outset" w:sz="6" w:space="0" w:color="0033FF"/>
              <w:right w:val="outset" w:sz="6" w:space="0" w:color="0033FF"/>
            </w:tcBorders>
            <w:shd w:val="clear" w:color="auto" w:fill="FFFFFF"/>
            <w:vAlign w:val="center"/>
            <w:hideMark/>
          </w:tcPr>
          <w:p w:rsidR="00000000" w:rsidRDefault="00641590">
            <w:pPr>
              <w:pStyle w:val="NormalWeb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click to 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unsubscribe</w:t>
              </w:r>
            </w:hyperlink>
          </w:p>
          <w:p w:rsidR="00000000" w:rsidRDefault="00641590">
            <w:pPr>
              <w:pStyle w:val="NormalWeb"/>
              <w:jc w:val="center"/>
            </w:pPr>
            <w:r>
              <w:rPr>
                <w:rStyle w:val="Strong"/>
                <w:rFonts w:ascii="Arial" w:hAnsi="Arial" w:cs="Arial"/>
                <w:color w:val="FF0000"/>
              </w:rPr>
              <w:t>The 3rd Algae World Asia’s program agenda is launched! Download your copy today!</w:t>
            </w:r>
            <w:r>
              <w:rPr>
                <w:color w:val="FF0000"/>
              </w:rPr>
              <w:t xml:space="preserve"> </w:t>
            </w:r>
          </w:p>
          <w:p w:rsidR="00000000" w:rsidRDefault="00641590">
            <w:pPr>
              <w:pStyle w:val="NormalWeb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191250" cy="952500"/>
                  <wp:effectExtent l="19050" t="0" r="0" b="0"/>
                  <wp:docPr id="1" name="Picture 1" descr="http://www.cmtevents.com/EVENTDATAS/101038/banner/101038(650x100pixels).gif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mtevents.com/EVENTDATAS/101038/banner/101038(650x100pixels)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40"/>
              <w:gridCol w:w="4710"/>
            </w:tblGrid>
            <w:tr w:rsidR="00000000">
              <w:trPr>
                <w:tblCellSpacing w:w="0" w:type="dxa"/>
              </w:trPr>
              <w:tc>
                <w:tcPr>
                  <w:tcW w:w="5040" w:type="dxa"/>
                  <w:vAlign w:val="center"/>
                  <w:hideMark/>
                </w:tcPr>
                <w:p w:rsidR="00000000" w:rsidRDefault="006415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857500" cy="238125"/>
                        <wp:effectExtent l="19050" t="0" r="0" b="0"/>
                        <wp:docPr id="2" name="Picture 2" descr="http://www.cmtevents.com/EVENTDATAS/101038/others/AccessLatestprogram.gif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mtevents.com/EVENTDATAS/101038/others/AccessLatestprogram.gif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:rsidR="00000000" w:rsidRDefault="006415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2381250" cy="238125"/>
                        <wp:effectExtent l="19050" t="0" r="0" b="0"/>
                        <wp:docPr id="3" name="Picture 3" descr="http://www.cmtevents.com/EVENTDATAS/101038/others/RegNow.gif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mtevents.com/EVENTDATAS/101038/others/RegNow.gif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641590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 xml:space="preserve">Aptly focussed on algae commercialisation for food, feed, freshwater, fresh air and fuel, CMT’s 3rd Algae World Asia is all geared up to continue delivering wide range of topics spanning 5 </w:t>
            </w:r>
            <w:r>
              <w:rPr>
                <w:rFonts w:ascii="Arial" w:hAnsi="Arial" w:cs="Arial"/>
                <w:sz w:val="20"/>
                <w:szCs w:val="20"/>
              </w:rPr>
              <w:t xml:space="preserve">main themes: Algae Cultivation, Carbon Capture, Wastewater Treatment, Bio-Energy and Technology Developments in Asia Pacific. </w:t>
            </w:r>
          </w:p>
          <w:p w:rsidR="00000000" w:rsidRDefault="00641590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 xml:space="preserve">Here’s a glimpse of a few of our speakers </w:t>
            </w:r>
          </w:p>
          <w:p w:rsidR="008F38EE" w:rsidRPr="008F38EE" w:rsidRDefault="00641590" w:rsidP="008F38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Daesang</w:t>
            </w:r>
            <w:proofErr w:type="spellEnd"/>
            <w:r>
              <w:rPr>
                <w:rStyle w:val="Emphasis"/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Corporaition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 xml:space="preserve">…shares </w:t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 xml:space="preserve">experience of algae production for </w:t>
            </w:r>
            <w:proofErr w:type="spellStart"/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>nutraceuticals</w:t>
            </w:r>
            <w:proofErr w:type="spellEnd"/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 xml:space="preserve"> and feeds application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  <w:p w:rsidR="00000000" w:rsidRDefault="006415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Emphasis"/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St Marys Cement Inc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 xml:space="preserve">…case study of growing algae from stack gas emissions at a cement plant </w:t>
            </w:r>
          </w:p>
          <w:p w:rsidR="00000000" w:rsidRDefault="006415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i/>
                <w:iCs/>
                <w:color w:val="0066CC"/>
                <w:sz w:val="20"/>
                <w:szCs w:val="20"/>
              </w:rPr>
              <w:t>National Institute of Water &amp; Atmospheric Research (NIWA)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  <w:i/>
                <w:iCs/>
                <w:sz w:val="20"/>
                <w:szCs w:val="20"/>
              </w:rPr>
              <w:t>…</w:t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>success story of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 xml:space="preserve">world's first </w:t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>large-scale wastewater treatment algal production system.</w:t>
            </w:r>
          </w:p>
          <w:p w:rsidR="00000000" w:rsidRDefault="006415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Emphasis"/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MBD Energy Ltd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>… carbon capture and recycling expert, has pilot CCR project with major coal-fired power plants in Australia.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          </w:t>
            </w:r>
          </w:p>
          <w:p w:rsidR="00000000" w:rsidRDefault="006415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>Biolsystems</w:t>
            </w:r>
            <w:proofErr w:type="spellEnd"/>
            <w:r>
              <w:rPr>
                <w:rStyle w:val="Emphasis"/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</w:rPr>
              <w:t xml:space="preserve"> Co Ltd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 xml:space="preserve">…spearheaded </w:t>
            </w:r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 xml:space="preserve">bio-ethanol production project in Philippines using red </w:t>
            </w:r>
            <w:proofErr w:type="spellStart"/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>macroalgae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00000" w:rsidRDefault="0064159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i/>
                <w:iCs/>
                <w:color w:val="0066CC"/>
                <w:sz w:val="20"/>
                <w:szCs w:val="20"/>
              </w:rPr>
              <w:t xml:space="preserve">Aurora Algae Pty Ltd &amp; </w:t>
            </w:r>
            <w:proofErr w:type="spellStart"/>
            <w:r>
              <w:rPr>
                <w:rStyle w:val="Strong"/>
                <w:rFonts w:ascii="Arial" w:eastAsia="Times New Roman" w:hAnsi="Arial" w:cs="Arial"/>
                <w:i/>
                <w:iCs/>
                <w:color w:val="0066CC"/>
                <w:sz w:val="20"/>
                <w:szCs w:val="20"/>
              </w:rPr>
              <w:t>OriginOil</w:t>
            </w:r>
            <w:proofErr w:type="spellEnd"/>
            <w:r>
              <w:rPr>
                <w:rStyle w:val="Emphasis"/>
                <w:rFonts w:ascii="Arial" w:eastAsia="Times New Roman" w:hAnsi="Arial" w:cs="Arial"/>
                <w:sz w:val="20"/>
                <w:szCs w:val="20"/>
              </w:rPr>
              <w:t>….</w:t>
            </w:r>
            <w:r w:rsidRPr="008F38EE">
              <w:rPr>
                <w:rStyle w:val="Emphasis"/>
                <w:rFonts w:ascii="Arial" w:eastAsia="Times New Roman" w:hAnsi="Arial" w:cs="Arial"/>
                <w:bCs/>
                <w:sz w:val="20"/>
                <w:szCs w:val="20"/>
              </w:rPr>
              <w:t xml:space="preserve">algae </w:t>
            </w:r>
            <w:proofErr w:type="spellStart"/>
            <w:r w:rsidRPr="008F38EE">
              <w:rPr>
                <w:rStyle w:val="Emphasis"/>
                <w:rFonts w:ascii="Arial" w:eastAsia="Times New Roman" w:hAnsi="Arial" w:cs="Arial"/>
                <w:bCs/>
                <w:sz w:val="20"/>
                <w:szCs w:val="20"/>
              </w:rPr>
              <w:t>biofuel</w:t>
            </w:r>
            <w:proofErr w:type="spellEnd"/>
            <w:r w:rsidRPr="008F38EE">
              <w:rPr>
                <w:rStyle w:val="Emphasis"/>
                <w:rFonts w:ascii="Arial" w:eastAsia="Times New Roman" w:hAnsi="Arial" w:cs="Arial"/>
                <w:bCs/>
                <w:sz w:val="20"/>
                <w:szCs w:val="20"/>
              </w:rPr>
              <w:t xml:space="preserve"> frontrunners from USA on technological breakthroughs they achieved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….and more!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Read more about our speakers’ profiles</w:t>
              </w:r>
            </w:hyperlink>
          </w:p>
          <w:p w:rsidR="00000000" w:rsidRDefault="00641590">
            <w:pPr>
              <w:pStyle w:val="NormalWeb"/>
            </w:pPr>
            <w:r w:rsidRPr="008F38EE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If you’d like to meet</w:t>
            </w:r>
            <w:r>
              <w:rPr>
                <w:rFonts w:ascii="Arial" w:hAnsi="Arial" w:cs="Arial"/>
                <w:sz w:val="20"/>
                <w:szCs w:val="20"/>
              </w:rPr>
              <w:t xml:space="preserve"> algae producers, algae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biofuel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developers, manufacturers of equipment for algae harvesting and processing, industrial companies in need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biofuel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carbon abatement and waste water tre</w:t>
            </w:r>
            <w:r>
              <w:rPr>
                <w:rFonts w:ascii="Arial" w:hAnsi="Arial" w:cs="Arial"/>
                <w:sz w:val="20"/>
                <w:szCs w:val="20"/>
              </w:rPr>
              <w:t xml:space="preserve">atment solution, research institutions, investors, or algae product purchasers, then </w:t>
            </w:r>
            <w:hyperlink r:id="rId14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3rd Algae World Asia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is THE event you should attend. </w:t>
            </w:r>
          </w:p>
          <w:p w:rsidR="00000000" w:rsidRDefault="00641590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Do not delay, 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submit online registration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now to avoid last minute rush before the seats are sold out! </w:t>
            </w:r>
          </w:p>
          <w:p w:rsidR="00000000" w:rsidRDefault="00641590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See you in Singapore!</w:t>
            </w:r>
          </w:p>
          <w:tbl>
            <w:tblPr>
              <w:tblW w:w="975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5"/>
              <w:gridCol w:w="3285"/>
            </w:tblGrid>
            <w:tr w:rsidR="00000000">
              <w:trPr>
                <w:tblCellSpacing w:w="0" w:type="dxa"/>
              </w:trPr>
              <w:tc>
                <w:tcPr>
                  <w:tcW w:w="6405" w:type="dxa"/>
                  <w:vAlign w:val="center"/>
                  <w:hideMark/>
                </w:tcPr>
                <w:p w:rsidR="00000000" w:rsidRDefault="0064159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Warmest Regards,</w:t>
                  </w:r>
                </w:p>
                <w:p w:rsidR="00000000" w:rsidRDefault="00641590" w:rsidP="008F38EE">
                  <w:pPr>
                    <w:pStyle w:val="NormalWeb"/>
                  </w:pPr>
                  <w:r w:rsidRPr="008F38EE"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  <w:t xml:space="preserve">Lee Lin, TAN </w:t>
                  </w:r>
                  <w:r w:rsidR="008F38EE" w:rsidRPr="008F38EE"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  <w:t>(Ms)</w:t>
                  </w:r>
                  <w:r w:rsidRPr="008F38EE">
                    <w:rPr>
                      <w:b/>
                    </w:rPr>
                    <w:t xml:space="preserve"> </w:t>
                  </w:r>
                  <w:r w:rsidR="008F38EE" w:rsidRPr="008F38EE">
                    <w:rPr>
                      <w:b/>
                    </w:rPr>
                    <w:br/>
                  </w:r>
                  <w:r w:rsidRPr="008F38EE">
                    <w:rPr>
                      <w:rStyle w:val="Emphasis"/>
                      <w:rFonts w:ascii="Arial" w:hAnsi="Arial" w:cs="Arial"/>
                      <w:i w:val="0"/>
                      <w:sz w:val="20"/>
                      <w:szCs w:val="20"/>
                    </w:rPr>
                    <w:t>Marketing </w:t>
                  </w:r>
                  <w:r w:rsidRPr="008F38EE">
                    <w:rPr>
                      <w:rStyle w:val="Emphasis"/>
                      <w:rFonts w:ascii="Arial" w:hAnsi="Arial" w:cs="Arial"/>
                      <w:i w:val="0"/>
                      <w:sz w:val="20"/>
                      <w:szCs w:val="20"/>
                    </w:rPr>
                    <w:t>Division</w:t>
                  </w:r>
                  <w:r w:rsidRPr="008F38E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8F38EE">
                    <w:rPr>
                      <w:rStyle w:val="Strong"/>
                      <w:rFonts w:ascii="Arial" w:hAnsi="Arial" w:cs="Arial"/>
                      <w:b w:val="0"/>
                      <w:color w:val="660000"/>
                      <w:sz w:val="20"/>
                      <w:szCs w:val="20"/>
                    </w:rPr>
                    <w:t>CMT - Centre for Management Technology</w:t>
                  </w:r>
                  <w: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DID: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 xml:space="preserve"> (+65) 63469146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| Fax: </w:t>
                  </w:r>
                  <w:r>
                    <w:rPr>
                      <w:rFonts w:ascii="Arial" w:hAnsi="Arial" w:cs="Arial"/>
                      <w:color w:val="CC3300"/>
                      <w:sz w:val="20"/>
                      <w:szCs w:val="20"/>
                    </w:rPr>
                    <w:t>(+65) 63455928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Email: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leelin@cmtsp.com.sg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www.cmtevents.com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8" w:history="1">
                    <w:r w:rsidR="008F38EE" w:rsidRPr="00AD6788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www.futureenergyevents.com/algae</w:t>
                    </w:r>
                  </w:hyperlink>
                  <w:r w:rsidR="008F38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55" w:type="dxa"/>
                  <w:vAlign w:val="center"/>
                  <w:hideMark/>
                </w:tcPr>
                <w:p w:rsidR="00000000" w:rsidRDefault="00641590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Arial" w:hAnsi="Arial" w:cs="Arial"/>
                      <w:i/>
                      <w:iCs/>
                      <w:color w:val="0033FF"/>
                      <w:sz w:val="20"/>
                      <w:szCs w:val="20"/>
                    </w:rPr>
                    <w:t>Organised by</w:t>
                  </w:r>
                </w:p>
                <w:p w:rsidR="00000000" w:rsidRDefault="00641590">
                  <w:pPr>
                    <w:pStyle w:val="Normal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9675" cy="571500"/>
                        <wp:effectExtent l="19050" t="0" r="9525" b="0"/>
                        <wp:docPr id="4" name="Picture 4" descr="http://www.cmtevents.com/EVENTDATAS/101038/media/CMT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mtevents.com/EVENTDATAS/101038/media/CMT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9FFFF"/>
                  <w:vAlign w:val="center"/>
                  <w:hideMark/>
                </w:tcPr>
                <w:p w:rsidR="00000000" w:rsidRDefault="00641590">
                  <w:pPr>
                    <w:jc w:val="center"/>
                    <w:rPr>
                      <w:rFonts w:eastAsia="Times New Roman"/>
                    </w:rPr>
                  </w:pPr>
                  <w:hyperlink r:id="rId20" w:history="1">
                    <w:r>
                      <w:rPr>
                        <w:rStyle w:val="Strong"/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</w:rPr>
                      <w:t>Save Dates</w:t>
                    </w:r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| </w:t>
                  </w:r>
                  <w:hyperlink r:id="rId21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Send to a Friend</w:t>
                    </w:r>
                  </w:hyperlink>
                </w:p>
              </w:tc>
            </w:tr>
          </w:tbl>
          <w:p w:rsidR="00000000" w:rsidRDefault="00641590">
            <w:pPr>
              <w:pStyle w:val="NormalWeb"/>
            </w:pPr>
            <w:r>
              <w:rPr>
                <w:rStyle w:val="Emphasis"/>
                <w:rFonts w:ascii="Arial" w:hAnsi="Arial" w:cs="Arial"/>
                <w:sz w:val="20"/>
                <w:szCs w:val="20"/>
              </w:rPr>
              <w:t>Linked In Group: Algae World (Have a Linked In Account? Join the ‘Algae World’ Forum Group today!)</w:t>
            </w:r>
          </w:p>
        </w:tc>
      </w:tr>
    </w:tbl>
    <w:p w:rsidR="00000000" w:rsidRDefault="00641590">
      <w:pPr>
        <w:pStyle w:val="NormalWeb"/>
      </w:pPr>
      <w:r>
        <w:t> </w:t>
      </w:r>
    </w:p>
    <w:p w:rsidR="00000000" w:rsidRDefault="00641590">
      <w:pPr>
        <w:pStyle w:val="NormalWeb"/>
      </w:pPr>
      <w:r>
        <w:t> </w:t>
      </w:r>
    </w:p>
    <w:p w:rsidR="00000000" w:rsidRDefault="00641590">
      <w:pPr>
        <w:pStyle w:val="NormalWeb"/>
      </w:pPr>
      <w:r>
        <w:t> 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B2B"/>
    <w:multiLevelType w:val="multilevel"/>
    <w:tmpl w:val="1932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12562F"/>
    <w:rsid w:val="0012562F"/>
    <w:rsid w:val="00641590"/>
    <w:rsid w:val="008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E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mtevents.com/EVENTDATAS/101038/banner/101038(650x100pixels).gif" TargetMode="External"/><Relationship Id="rId13" Type="http://schemas.openxmlformats.org/officeDocument/2006/relationships/hyperlink" Target="http://www.cmtevents.com/speakerprofiles.aspx?ev=101038&amp;" TargetMode="External"/><Relationship Id="rId18" Type="http://schemas.openxmlformats.org/officeDocument/2006/relationships/hyperlink" Target="http://www.futureenergyevents.com/alg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mtevents.com/tellafriend.aspx?ev=101038&amp;st=46&amp;" TargetMode="External"/><Relationship Id="rId7" Type="http://schemas.openxmlformats.org/officeDocument/2006/relationships/hyperlink" Target="http://www.cmtevents.com/main.aspx?ev=101038&amp;st=46&amp;pg=sc&amp;eid=%5beid%5d&amp;em=%5bemail%5d&amp;" TargetMode="External"/><Relationship Id="rId12" Type="http://schemas.openxmlformats.org/officeDocument/2006/relationships/image" Target="http://www.cmtevents.com/EVENTDATAS/101038/others/RegNow.gif" TargetMode="External"/><Relationship Id="rId17" Type="http://schemas.openxmlformats.org/officeDocument/2006/relationships/hyperlink" Target="http://www.cmtevent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eelin@cmtsp.com.sg" TargetMode="External"/><Relationship Id="rId20" Type="http://schemas.openxmlformats.org/officeDocument/2006/relationships/hyperlink" Target="http://www.cmtevents.com/returnvcs.aspx?Ev=101038&amp;st=46&amp;eid=%5beid%5d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mtevents.com/main.aspx?ev=101038&amp;st=46&amp;pg=sc&amp;" TargetMode="External"/><Relationship Id="rId11" Type="http://schemas.openxmlformats.org/officeDocument/2006/relationships/hyperlink" Target="http://www.cmtevents.com/main.aspx?ev=101038&amp;st=46&amp;pg=rg&amp;eid=%5beid%5d&amp;em=%5bemail%5d&amp;" TargetMode="External"/><Relationship Id="rId5" Type="http://schemas.openxmlformats.org/officeDocument/2006/relationships/hyperlink" Target="http://www.cmtevents.com/UnSubscribe.aspx" TargetMode="External"/><Relationship Id="rId15" Type="http://schemas.openxmlformats.org/officeDocument/2006/relationships/hyperlink" Target="http://www.cmtevents.com/main.aspx?ev=101038&amp;st=46&amp;pg=rg&amp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mtevents.com/main.aspx?ev=101038&amp;st=46&amp;pg=rg&amp;" TargetMode="External"/><Relationship Id="rId19" Type="http://schemas.openxmlformats.org/officeDocument/2006/relationships/image" Target="http://www.cmtevents.com/EVENTDATAS/101038/media/CMT27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cmtevents.com/EVENTDATAS/101038/others/AccessLatestprogram.gif" TargetMode="External"/><Relationship Id="rId14" Type="http://schemas.openxmlformats.org/officeDocument/2006/relationships/hyperlink" Target="http://www.cmtevents.com/main.aspx?ev=101038&amp;st=46&amp;pg=sc&amp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Algae World Asia |19-20 Oct 2010, Singapore</dc:title>
  <dc:creator>leelin</dc:creator>
  <cp:lastModifiedBy>leelin</cp:lastModifiedBy>
  <cp:revision>2</cp:revision>
  <dcterms:created xsi:type="dcterms:W3CDTF">2010-08-24T02:03:00Z</dcterms:created>
  <dcterms:modified xsi:type="dcterms:W3CDTF">2010-08-24T02:03:00Z</dcterms:modified>
</cp:coreProperties>
</file>