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66CC"/>
  <w:body>
    <w:tbl>
      <w:tblPr>
        <w:tblW w:w="10200" w:type="dxa"/>
        <w:jc w:val="center"/>
        <w:tblCellSpacing w:w="0" w:type="dxa"/>
        <w:tblBorders>
          <w:top w:val="outset" w:sz="6" w:space="0" w:color="660066"/>
          <w:left w:val="outset" w:sz="6" w:space="0" w:color="660066"/>
          <w:bottom w:val="outset" w:sz="6" w:space="0" w:color="660066"/>
          <w:right w:val="outset" w:sz="6" w:space="0" w:color="660066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10710"/>
      </w:tblGrid>
      <w:tr w:rsidR="00000000" w:rsidTr="000F48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0066"/>
              <w:left w:val="outset" w:sz="6" w:space="0" w:color="660066"/>
              <w:bottom w:val="outset" w:sz="6" w:space="0" w:color="660066"/>
              <w:right w:val="outset" w:sz="6" w:space="0" w:color="660066"/>
            </w:tcBorders>
            <w:shd w:val="clear" w:color="auto" w:fill="FFFFFF"/>
            <w:vAlign w:val="center"/>
            <w:hideMark/>
          </w:tcPr>
          <w:p w:rsidR="00000000" w:rsidRDefault="000F4891">
            <w:pPr>
              <w:pStyle w:val="NormalWeb"/>
              <w:jc w:val="center"/>
            </w:pPr>
            <w:r>
              <w:rPr>
                <w:rStyle w:val="Strong"/>
                <w:rFonts w:ascii="Arial" w:hAnsi="Arial" w:cs="Arial"/>
                <w:color w:val="660099"/>
              </w:rPr>
              <w:t>Cement and Power Plants - T</w:t>
            </w:r>
            <w:r>
              <w:rPr>
                <w:rStyle w:val="Strong"/>
                <w:rFonts w:ascii="Arial" w:hAnsi="Arial" w:cs="Arial"/>
                <w:color w:val="660099"/>
              </w:rPr>
              <w:t xml:space="preserve">urning to </w:t>
            </w:r>
            <w:r>
              <w:rPr>
                <w:rStyle w:val="Strong"/>
                <w:rFonts w:ascii="Arial" w:hAnsi="Arial" w:cs="Arial"/>
                <w:color w:val="660099"/>
              </w:rPr>
              <w:t>Algae for Carbon Capture Solution</w:t>
            </w:r>
          </w:p>
          <w:p w:rsidR="00000000" w:rsidRDefault="000F4891">
            <w:pPr>
              <w:pStyle w:val="NormalWeb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191250" cy="952500"/>
                  <wp:effectExtent l="19050" t="0" r="0" b="0"/>
                  <wp:docPr id="1" name="Picture 1" descr="http://www.cmtevents.com/EVENTDATAS/101038/banner/101038(650x100pixels).gi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tevents.com/EVENTDATAS/101038/banner/101038(650x100pixels).gi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750" w:type="dxa"/>
              <w:tblCellSpacing w:w="7" w:type="dxa"/>
              <w:tblBorders>
                <w:top w:val="outset" w:sz="12" w:space="0" w:color="660066"/>
                <w:left w:val="outset" w:sz="12" w:space="0" w:color="660066"/>
                <w:bottom w:val="outset" w:sz="12" w:space="0" w:color="660066"/>
                <w:right w:val="outset" w:sz="12" w:space="0" w:color="660066"/>
              </w:tblBorders>
              <w:shd w:val="clear" w:color="auto" w:fill="E6E6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42"/>
              <w:gridCol w:w="3956"/>
              <w:gridCol w:w="3052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660066"/>
                    <w:left w:val="outset" w:sz="6" w:space="0" w:color="660066"/>
                    <w:bottom w:val="outset" w:sz="6" w:space="0" w:color="660066"/>
                    <w:right w:val="outset" w:sz="6" w:space="0" w:color="660066"/>
                  </w:tcBorders>
                  <w:shd w:val="clear" w:color="auto" w:fill="E6E6FF"/>
                  <w:vAlign w:val="center"/>
                  <w:hideMark/>
                </w:tcPr>
                <w:p w:rsidR="00000000" w:rsidRDefault="000F4891">
                  <w:pPr>
                    <w:jc w:val="center"/>
                    <w:rPr>
                      <w:rFonts w:eastAsia="Times New Roman"/>
                    </w:rPr>
                  </w:pPr>
                  <w:hyperlink r:id="rId7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Register online now!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660066"/>
                    <w:left w:val="outset" w:sz="6" w:space="0" w:color="660066"/>
                    <w:bottom w:val="outset" w:sz="6" w:space="0" w:color="660066"/>
                    <w:right w:val="outset" w:sz="6" w:space="0" w:color="660066"/>
                  </w:tcBorders>
                  <w:shd w:val="clear" w:color="auto" w:fill="E6E6FF"/>
                  <w:vAlign w:val="center"/>
                  <w:hideMark/>
                </w:tcPr>
                <w:p w:rsidR="00000000" w:rsidRDefault="000F4891">
                  <w:pPr>
                    <w:jc w:val="center"/>
                    <w:rPr>
                      <w:rFonts w:eastAsia="Times New Roman"/>
                    </w:rPr>
                  </w:pPr>
                  <w:hyperlink r:id="rId8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3rd Algae World Asia Program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660066"/>
                    <w:left w:val="outset" w:sz="6" w:space="0" w:color="660066"/>
                    <w:bottom w:val="outset" w:sz="6" w:space="0" w:color="660066"/>
                    <w:right w:val="outset" w:sz="6" w:space="0" w:color="660066"/>
                  </w:tcBorders>
                  <w:shd w:val="clear" w:color="auto" w:fill="E6E6FF"/>
                  <w:vAlign w:val="center"/>
                  <w:hideMark/>
                </w:tcPr>
                <w:p w:rsidR="00000000" w:rsidRDefault="000F4891">
                  <w:pPr>
                    <w:jc w:val="center"/>
                    <w:rPr>
                      <w:rFonts w:eastAsia="Times New Roman"/>
                    </w:rPr>
                  </w:pPr>
                  <w:hyperlink r:id="rId9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 xml:space="preserve">Request for Reminder </w:t>
                    </w:r>
                  </w:hyperlink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00000" w:rsidRDefault="000F4891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considering a carbon capture solution for your plant’s emissions, then you should attend the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3rd Algae World Asia, on 19-20 October 2010 in Singapore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 Why? Because we’re bringing together leaders in the cement and power production industries to s</w:t>
            </w:r>
            <w:r>
              <w:rPr>
                <w:rFonts w:ascii="Arial" w:hAnsi="Arial" w:cs="Arial"/>
                <w:sz w:val="20"/>
                <w:szCs w:val="20"/>
              </w:rPr>
              <w:t xml:space="preserve">hare their experiences and how you too can reap the benefits of using algae carbon capture solution. Don’t miss out on their enlightening presentations on: </w:t>
            </w:r>
          </w:p>
          <w:p w:rsidR="00000000" w:rsidRDefault="000F489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996600"/>
                <w:sz w:val="20"/>
                <w:szCs w:val="20"/>
              </w:rPr>
              <w:t xml:space="preserve">Growing Algae from Stack Gas Emissions at a Cement Plant (Case study of Pond </w:t>
            </w:r>
            <w:proofErr w:type="spellStart"/>
            <w:r>
              <w:rPr>
                <w:rStyle w:val="Strong"/>
                <w:rFonts w:ascii="Arial" w:eastAsia="Times New Roman" w:hAnsi="Arial" w:cs="Arial"/>
                <w:color w:val="996600"/>
                <w:sz w:val="20"/>
                <w:szCs w:val="20"/>
              </w:rPr>
              <w:t>Biofuels</w:t>
            </w:r>
            <w:proofErr w:type="spellEnd"/>
            <w:r>
              <w:rPr>
                <w:rStyle w:val="Strong"/>
                <w:rFonts w:ascii="Arial" w:eastAsia="Times New Roman" w:hAnsi="Arial" w:cs="Arial"/>
                <w:color w:val="996600"/>
                <w:sz w:val="20"/>
                <w:szCs w:val="20"/>
              </w:rPr>
              <w:t xml:space="preserve"> and St Marys </w:t>
            </w:r>
            <w:r>
              <w:rPr>
                <w:rStyle w:val="Strong"/>
                <w:rFonts w:ascii="Arial" w:eastAsia="Times New Roman" w:hAnsi="Arial" w:cs="Arial"/>
                <w:color w:val="996600"/>
                <w:sz w:val="20"/>
                <w:szCs w:val="20"/>
              </w:rPr>
              <w:t>Cement</w:t>
            </w:r>
            <w:proofErr w:type="gramStart"/>
            <w:r>
              <w:rPr>
                <w:rStyle w:val="Strong"/>
                <w:rFonts w:ascii="Arial" w:eastAsia="Times New Roman" w:hAnsi="Arial" w:cs="Arial"/>
                <w:color w:val="996600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Mr. Martin </w:t>
            </w:r>
            <w:proofErr w:type="spellStart"/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Vroegh</w:t>
            </w:r>
            <w:proofErr w:type="spellEnd"/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Environment Manager, </w:t>
            </w:r>
            <w:r>
              <w:rPr>
                <w:rStyle w:val="Strong"/>
                <w:rFonts w:ascii="Arial" w:eastAsia="Times New Roman" w:hAnsi="Arial" w:cs="Arial"/>
                <w:i/>
                <w:iCs/>
                <w:sz w:val="20"/>
                <w:szCs w:val="20"/>
              </w:rPr>
              <w:t>St Marys Cement Inc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:rsidR="00000000" w:rsidRDefault="000F4891">
            <w:pPr>
              <w:pStyle w:val="NormalWeb"/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Pond </w:t>
            </w:r>
            <w:proofErr w:type="spellStart"/>
            <w:r>
              <w:rPr>
                <w:rStyle w:val="Emphasis"/>
                <w:rFonts w:ascii="Arial" w:hAnsi="Arial" w:cs="Arial"/>
                <w:sz w:val="20"/>
                <w:szCs w:val="20"/>
              </w:rPr>
              <w:t>Biofuels</w:t>
            </w:r>
            <w:proofErr w:type="spellEnd"/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 plans to use some of that generated CO2 by growing algae next to Ontario’s St. Mary’s cement plant, and the high-value biomass will be used to fuel the cement plant’s kilns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and truck fleet. The </w:t>
            </w:r>
            <w:proofErr w:type="spellStart"/>
            <w:r>
              <w:rPr>
                <w:rStyle w:val="Emphasis"/>
                <w:rFonts w:ascii="Arial" w:hAnsi="Arial" w:cs="Arial"/>
                <w:sz w:val="20"/>
                <w:szCs w:val="20"/>
              </w:rPr>
              <w:t>biofuel</w:t>
            </w:r>
            <w:proofErr w:type="spellEnd"/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 company will also use industrial waste heat from the St. Marys’ cement plant to dry out the algae before turning it into a </w:t>
            </w:r>
            <w:proofErr w:type="spellStart"/>
            <w:r>
              <w:rPr>
                <w:rStyle w:val="Emphasis"/>
                <w:rFonts w:ascii="Arial" w:hAnsi="Arial" w:cs="Arial"/>
                <w:sz w:val="20"/>
                <w:szCs w:val="20"/>
              </w:rPr>
              <w:t>biofuel</w:t>
            </w:r>
            <w:proofErr w:type="spellEnd"/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. </w:t>
            </w:r>
            <w:hyperlink r:id="rId11" w:history="1"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Read more about CO2 Emissions From St. Marys’ cement Plant to Produce Biomass, 14 April 2010.</w:t>
              </w:r>
            </w:hyperlink>
          </w:p>
          <w:p w:rsidR="00000000" w:rsidRDefault="000F48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996600"/>
                <w:sz w:val="20"/>
                <w:szCs w:val="20"/>
              </w:rPr>
              <w:t>Challenges of a Power Company in the New Climate Order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Dr. Krishna Gupta, Managing Director, West Bengal Power Development Corp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oration Ltd (WBPDCL)</w:t>
            </w:r>
          </w:p>
          <w:p w:rsidR="00000000" w:rsidRDefault="000F4891">
            <w:pPr>
              <w:pStyle w:val="NormalWeb"/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>WBPDCL,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Kolkata, India-based power producer is conducting an algae-based carbon capture pilot project 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  <w:sz w:val="20"/>
                <w:szCs w:val="20"/>
              </w:rPr>
              <w:t>Kolaghat</w:t>
            </w:r>
            <w:proofErr w:type="spellEnd"/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 thermal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power plant.</w:t>
            </w:r>
          </w:p>
          <w:p w:rsidR="00000000" w:rsidRDefault="000F489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996600"/>
                <w:sz w:val="20"/>
                <w:szCs w:val="20"/>
              </w:rPr>
              <w:t>Technological Development of Algal Carbon Capture and Storage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Mr. Tony St Clair, Agribusiness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Manager, </w:t>
            </w:r>
            <w:r>
              <w:rPr>
                <w:rStyle w:val="Strong"/>
                <w:rFonts w:ascii="Arial" w:eastAsia="Times New Roman" w:hAnsi="Arial" w:cs="Arial"/>
                <w:i/>
                <w:iCs/>
                <w:sz w:val="20"/>
                <w:szCs w:val="20"/>
              </w:rPr>
              <w:t>MBD Energy Limited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0F4891">
            <w:pPr>
              <w:pStyle w:val="NormalWeb"/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>MBD technology recycles captured industrial flue-gas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emissions into oils suitable for manufacture of high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grade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plastics, transport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fuel and nutritious feed for livestock and </w:t>
            </w:r>
            <w:proofErr w:type="spellStart"/>
            <w:r>
              <w:rPr>
                <w:rStyle w:val="Emphasis"/>
                <w:rFonts w:ascii="Arial" w:hAnsi="Arial" w:cs="Arial"/>
                <w:sz w:val="20"/>
                <w:szCs w:val="20"/>
              </w:rPr>
              <w:t>monogastric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consumption. MBD 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has reached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agre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ements for the planning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provision of pilot CCR plants with three of Australia's major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coal-fired power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stations Loy Yang Power, </w:t>
            </w:r>
            <w:proofErr w:type="spellStart"/>
            <w:r>
              <w:rPr>
                <w:rStyle w:val="Emphasis"/>
                <w:rFonts w:ascii="Arial" w:hAnsi="Arial" w:cs="Arial"/>
                <w:sz w:val="20"/>
                <w:szCs w:val="20"/>
              </w:rPr>
              <w:t>Eraring</w:t>
            </w:r>
            <w:proofErr w:type="spellEnd"/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 Energy and </w:t>
            </w:r>
            <w:proofErr w:type="spellStart"/>
            <w:r>
              <w:rPr>
                <w:rStyle w:val="Emphasis"/>
                <w:rFonts w:ascii="Arial" w:hAnsi="Arial" w:cs="Arial"/>
                <w:sz w:val="20"/>
                <w:szCs w:val="20"/>
              </w:rPr>
              <w:t>Tarong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20"/>
                <w:szCs w:val="20"/>
              </w:rPr>
              <w:t>Energy.</w:t>
            </w:r>
          </w:p>
          <w:p w:rsidR="00000000" w:rsidRDefault="000F4891">
            <w:pPr>
              <w:pStyle w:val="Norma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There is now </w:t>
            </w:r>
            <w:r>
              <w:rPr>
                <w:rStyle w:val="Strong"/>
                <w:rFonts w:ascii="Arial" w:hAnsi="Arial" w:cs="Arial"/>
                <w:color w:val="0033FF"/>
                <w:sz w:val="20"/>
                <w:szCs w:val="20"/>
              </w:rPr>
              <w:t>only 3</w:t>
            </w:r>
            <w:r>
              <w:rPr>
                <w:rStyle w:val="Strong"/>
                <w:rFonts w:ascii="Arial" w:hAnsi="Arial" w:cs="Arial"/>
                <w:color w:val="0033FF"/>
                <w:sz w:val="20"/>
                <w:szCs w:val="20"/>
              </w:rPr>
              <w:t xml:space="preserve"> weeks to go</w:t>
            </w:r>
            <w:r>
              <w:rPr>
                <w:rFonts w:ascii="Arial" w:hAnsi="Arial" w:cs="Arial"/>
                <w:sz w:val="20"/>
                <w:szCs w:val="20"/>
              </w:rPr>
              <w:t xml:space="preserve"> until our 3rd </w:t>
            </w:r>
            <w:r>
              <w:rPr>
                <w:rFonts w:ascii="Arial" w:hAnsi="Arial" w:cs="Arial"/>
                <w:sz w:val="20"/>
                <w:szCs w:val="20"/>
              </w:rPr>
              <w:t xml:space="preserve">Algae World Asia on 19-20 October 2010 in Singapore. If you have not yet registered, do call us on +65 6346 9146 or 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register online NOW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  <w:p w:rsidR="00000000" w:rsidRDefault="000F4891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0" cy="190500"/>
                  <wp:effectExtent l="19050" t="0" r="0" b="0"/>
                  <wp:docPr id="2" name="Picture 2" descr="http://www.cmtevents.com/EVENTDATAS/101038/others/RegisterNow11.gif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tevents.com/EVENTDATAS/101038/others/RegisterNow11.gif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F489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Enjoy USD 900 discount when you attend in a group of 3 or more! Email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leelin@cmtsp.com.sg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more details.</w:t>
            </w:r>
          </w:p>
          <w:p w:rsidR="000F4891" w:rsidRDefault="000F489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45"/>
              <w:gridCol w:w="7619"/>
            </w:tblGrid>
            <w:tr w:rsidR="000F4891" w:rsidTr="000F4891">
              <w:tc>
                <w:tcPr>
                  <w:tcW w:w="2145" w:type="dxa"/>
                </w:tcPr>
                <w:p w:rsidR="000F4891" w:rsidRDefault="000F4891" w:rsidP="000F4891">
                  <w:pPr>
                    <w:pStyle w:val="NormalWeb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color w:val="0000FF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1047750" cy="1285875"/>
                        <wp:effectExtent l="19050" t="0" r="0" b="0"/>
                        <wp:docPr id="5" name="Picture 4" descr="&quot;Algae World 2010 Industry Survey&quot; report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&quot;Algae World 2010 Industry Survey&quot; repo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19" w:type="dxa"/>
                </w:tcPr>
                <w:p w:rsidR="000F4891" w:rsidRDefault="000F4891" w:rsidP="000F4891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0F489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The "Algae World 2010 Industry Survey" report is launched! </w:t>
                  </w:r>
                </w:p>
                <w:p w:rsidR="000F4891" w:rsidRPr="000F4891" w:rsidRDefault="000F4891" w:rsidP="000F4891">
                  <w:pPr>
                    <w:spacing w:before="100" w:beforeAutospacing="1" w:after="100" w:afterAutospacing="1"/>
                    <w:ind w:left="840" w:right="120"/>
                    <w:jc w:val="center"/>
                    <w:rPr>
                      <w:rFonts w:ascii="Arial" w:eastAsia="Times New Roman" w:hAnsi="Arial" w:cs="Arial"/>
                    </w:rPr>
                  </w:pPr>
                  <w:hyperlink r:id="rId18" w:history="1">
                    <w:r w:rsidRPr="000F4891">
                      <w:rPr>
                        <w:rStyle w:val="Strong"/>
                        <w:rFonts w:ascii="Arial" w:hAnsi="Arial" w:cs="Arial"/>
                        <w:color w:val="0000FF"/>
                        <w:u w:val="single"/>
                      </w:rPr>
                      <w:t>Download your FREE copy today!</w:t>
                    </w:r>
                  </w:hyperlink>
                </w:p>
                <w:p w:rsidR="000F4891" w:rsidRPr="000F4891" w:rsidRDefault="000F4891" w:rsidP="000F4891">
                  <w:pPr>
                    <w:spacing w:before="120" w:after="120"/>
                    <w:ind w:left="240" w:right="2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F48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This report collates input from scientists, academics and practitioners who share their views on </w:t>
                  </w:r>
                  <w:r w:rsidRPr="000F48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growth of algae industry and its future directions</w:t>
                  </w:r>
                  <w:r w:rsidRPr="000F4891">
                    <w:rPr>
                      <w:rFonts w:ascii="Arial" w:eastAsia="Times New Roman" w:hAnsi="Arial" w:cs="Arial"/>
                      <w:sz w:val="20"/>
                      <w:szCs w:val="20"/>
                    </w:rPr>
                    <w:t>. Some of the key issues identified in the industry survey are:</w:t>
                  </w:r>
                </w:p>
                <w:p w:rsidR="000F4891" w:rsidRPr="000F4891" w:rsidRDefault="000F4891" w:rsidP="000F489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ind w:left="84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F48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Stable production systems</w:t>
                  </w:r>
                </w:p>
                <w:p w:rsidR="000F4891" w:rsidRPr="000F4891" w:rsidRDefault="000F4891" w:rsidP="000F489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ind w:left="84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F48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Lack of trained personnel</w:t>
                  </w:r>
                </w:p>
                <w:p w:rsidR="000F4891" w:rsidRPr="000F4891" w:rsidRDefault="000F4891" w:rsidP="000F489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ind w:left="84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F48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Strain selection</w:t>
                  </w:r>
                </w:p>
                <w:p w:rsidR="000F4891" w:rsidRPr="000F4891" w:rsidRDefault="000F4891" w:rsidP="000F489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ind w:left="84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F48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Ideal location for Algae project</w:t>
                  </w:r>
                </w:p>
                <w:p w:rsidR="000F4891" w:rsidRPr="000F4891" w:rsidRDefault="000F4891" w:rsidP="000F489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ind w:left="840" w:right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F48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Costs</w:t>
                  </w:r>
                </w:p>
                <w:p w:rsidR="000F4891" w:rsidRDefault="000F4891" w:rsidP="000F4891">
                  <w:pPr>
                    <w:spacing w:before="100" w:beforeAutospacing="1" w:after="100" w:afterAutospacing="1"/>
                    <w:ind w:left="840" w:right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97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73"/>
              <w:gridCol w:w="2877"/>
            </w:tblGrid>
            <w:tr w:rsidR="00000000" w:rsidTr="000F4891">
              <w:trPr>
                <w:tblCellSpacing w:w="0" w:type="dxa"/>
              </w:trPr>
              <w:tc>
                <w:tcPr>
                  <w:tcW w:w="6873" w:type="dxa"/>
                  <w:vAlign w:val="center"/>
                  <w:hideMark/>
                </w:tcPr>
                <w:p w:rsidR="00000000" w:rsidRDefault="000F489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Warmest Regards,</w:t>
                  </w:r>
                </w:p>
                <w:p w:rsidR="00000000" w:rsidRDefault="000F4891">
                  <w:pPr>
                    <w:pStyle w:val="NormalWeb"/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Lee Lin, TAN 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陈俐玲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Marketing Division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60000"/>
                      <w:sz w:val="20"/>
                      <w:szCs w:val="20"/>
                    </w:rPr>
                    <w:t xml:space="preserve">CMT </w:t>
                  </w:r>
                  <w:r>
                    <w:rPr>
                      <w:rStyle w:val="Strong"/>
                      <w:rFonts w:ascii="Arial" w:hAnsi="Arial" w:cs="Arial"/>
                      <w:color w:val="660000"/>
                      <w:sz w:val="20"/>
                      <w:szCs w:val="20"/>
                    </w:rPr>
                    <w:t>- Centre for Management Technology</w:t>
                  </w:r>
                  <w: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DID: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 xml:space="preserve"> (+65) 63469146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| Fax: 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>(+65) 63455928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Email: </w:t>
                  </w:r>
                  <w:hyperlink r:id="rId19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leelin@cmtsp.com.sg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20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www.cmtevents.com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21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www.futureenergyevents.com/algae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77" w:type="dxa"/>
                  <w:vAlign w:val="center"/>
                  <w:hideMark/>
                </w:tcPr>
                <w:p w:rsidR="00000000" w:rsidRDefault="000F4891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Arial" w:hAnsi="Arial" w:cs="Arial"/>
                      <w:i/>
                      <w:iCs/>
                      <w:color w:val="660099"/>
                      <w:sz w:val="20"/>
                      <w:szCs w:val="20"/>
                    </w:rPr>
                    <w:t>Organised by</w:t>
                  </w:r>
                </w:p>
                <w:p w:rsidR="00000000" w:rsidRDefault="000F4891">
                  <w:pPr>
                    <w:pStyle w:val="Normal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675" cy="571500"/>
                        <wp:effectExtent l="19050" t="0" r="9525" b="0"/>
                        <wp:docPr id="3" name="Picture 3" descr="http://www.cmtevents.com/EVENTDATAS/101038/media/CMT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mtevents.com/EVENTDATAS/101038/media/CMT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6E6FF"/>
                  <w:vAlign w:val="center"/>
                  <w:hideMark/>
                </w:tcPr>
                <w:p w:rsidR="00000000" w:rsidRDefault="000F4891">
                  <w:pPr>
                    <w:jc w:val="center"/>
                    <w:rPr>
                      <w:rFonts w:eastAsia="Times New Roman"/>
                    </w:rPr>
                  </w:pPr>
                  <w:hyperlink r:id="rId23" w:history="1">
                    <w:r>
                      <w:rPr>
                        <w:rStyle w:val="Strong"/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Save Dates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| </w:t>
                  </w:r>
                  <w:hyperlink r:id="rId24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Send to a Friend</w:t>
                    </w:r>
                  </w:hyperlink>
                </w:p>
              </w:tc>
            </w:tr>
          </w:tbl>
          <w:p w:rsidR="00000000" w:rsidRDefault="000F4891">
            <w:pPr>
              <w:pStyle w:val="NormalWeb"/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>Linked In Group: Algae World (Have a Linked In Account? Join the ‘Algae World’ Forum Group today!)</w:t>
            </w:r>
          </w:p>
        </w:tc>
      </w:tr>
    </w:tbl>
    <w:p w:rsidR="00000000" w:rsidRDefault="000F4891">
      <w:pPr>
        <w:pStyle w:val="NormalWeb"/>
      </w:pPr>
      <w:r>
        <w:lastRenderedPageBreak/>
        <w:t> </w:t>
      </w:r>
    </w:p>
    <w:p w:rsidR="00000000" w:rsidRDefault="000F4891">
      <w:pPr>
        <w:pStyle w:val="NormalWeb"/>
      </w:pPr>
      <w:r>
        <w:t> </w:t>
      </w:r>
    </w:p>
    <w:p w:rsidR="00000000" w:rsidRDefault="000F4891">
      <w:pPr>
        <w:pStyle w:val="NormalWeb"/>
      </w:pPr>
      <w:r>
        <w:t>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E56"/>
    <w:multiLevelType w:val="multilevel"/>
    <w:tmpl w:val="E8A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451C9"/>
    <w:multiLevelType w:val="multilevel"/>
    <w:tmpl w:val="15A8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E649D"/>
    <w:multiLevelType w:val="multilevel"/>
    <w:tmpl w:val="5A0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52A72"/>
    <w:multiLevelType w:val="multilevel"/>
    <w:tmpl w:val="1432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782EF9"/>
    <w:rsid w:val="000F4891"/>
    <w:rsid w:val="0078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rsid w:val="000F48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?ev=101038&amp;pu=204187" TargetMode="External"/><Relationship Id="rId13" Type="http://schemas.openxmlformats.org/officeDocument/2006/relationships/hyperlink" Target="http://www.cmtevents.com/main.aspx?ev=101038&amp;st=46&amp;pg=rg&amp;eid=%5beid%5d&amp;em=%5bemail%5d&amp;" TargetMode="External"/><Relationship Id="rId18" Type="http://schemas.openxmlformats.org/officeDocument/2006/relationships/hyperlink" Target="http://www.cmtevents.com/eventposts.aspx?feedid=1003&amp;ev=101038&amp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utureenergyevents.com/algae" TargetMode="External"/><Relationship Id="rId7" Type="http://schemas.openxmlformats.org/officeDocument/2006/relationships/hyperlink" Target="http://www.cmtevents.com/main.aspx?ev=101038&amp;st=46&amp;pg=rg&amp;" TargetMode="External"/><Relationship Id="rId12" Type="http://schemas.openxmlformats.org/officeDocument/2006/relationships/hyperlink" Target="http://www.cmtevents.com/main.aspx?ev=101038&amp;st=46&amp;pg=rg&amp;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mtevents.com/eventposts.aspx?feedid=1003&amp;ev=101038&amp;" TargetMode="External"/><Relationship Id="rId20" Type="http://schemas.openxmlformats.org/officeDocument/2006/relationships/hyperlink" Target="http://www.cmtevents.com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cmtevents.com/EVENTDATAS/101038/banner/101038(650x100pixels).gif" TargetMode="External"/><Relationship Id="rId11" Type="http://schemas.openxmlformats.org/officeDocument/2006/relationships/hyperlink" Target="http://www.todaysconcretetechnology.com/co2-emissions-from-st-mary%E2%80%99s-cement-plant-to-produce-biomass.html" TargetMode="External"/><Relationship Id="rId24" Type="http://schemas.openxmlformats.org/officeDocument/2006/relationships/hyperlink" Target="http://www.cmtevents.com/tellafriend.aspx?ev=101038&amp;st=46&amp;" TargetMode="External"/><Relationship Id="rId5" Type="http://schemas.openxmlformats.org/officeDocument/2006/relationships/hyperlink" Target="http://www.cmtevents.com/main.aspx?ev=101038&amp;st=46&amp;pg=sc&amp;eid=%5beid%5d&amp;em=%5bemail%5d&amp;" TargetMode="External"/><Relationship Id="rId15" Type="http://schemas.openxmlformats.org/officeDocument/2006/relationships/hyperlink" Target="mailto:leelin@cmtsp.com.sg" TargetMode="External"/><Relationship Id="rId23" Type="http://schemas.openxmlformats.org/officeDocument/2006/relationships/hyperlink" Target="http://www.cmtevents.com/returnvcs.aspx?Ev=101038&amp;st=46&amp;" TargetMode="External"/><Relationship Id="rId10" Type="http://schemas.openxmlformats.org/officeDocument/2006/relationships/hyperlink" Target="http://www.cmtevents.com/?ev=101038&amp;pu=204187" TargetMode="External"/><Relationship Id="rId19" Type="http://schemas.openxmlformats.org/officeDocument/2006/relationships/hyperlink" Target="mailto:leelin@cmtsp.com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elin@cmtsp.com.sg" TargetMode="External"/><Relationship Id="rId14" Type="http://schemas.openxmlformats.org/officeDocument/2006/relationships/image" Target="http://www.cmtevents.com/EVENTDATAS/101038/others/RegisterNow11.gif" TargetMode="External"/><Relationship Id="rId22" Type="http://schemas.openxmlformats.org/officeDocument/2006/relationships/image" Target="http://www.cmtevents.com/EVENTDATAS/101038/media/CMT27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3410</Characters>
  <Application>Microsoft Office Word</Application>
  <DocSecurity>0</DocSecurity>
  <Lines>28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Algae World Asia |19-20 Oct 2010, Singapore</dc:title>
  <dc:creator>leelin</dc:creator>
  <cp:lastModifiedBy>leelin</cp:lastModifiedBy>
  <cp:revision>2</cp:revision>
  <dcterms:created xsi:type="dcterms:W3CDTF">2010-09-27T02:31:00Z</dcterms:created>
  <dcterms:modified xsi:type="dcterms:W3CDTF">2010-09-27T02:31:00Z</dcterms:modified>
</cp:coreProperties>
</file>